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18488</w:t>
      </w:r>
      <w:bookmarkStart w:id="3" w:name="_GoBack"/>
      <w:bookmarkEnd w:id="3"/>
      <w:r>
        <w:rPr>
          <w:rFonts w:hint="eastAsia" w:eastAsia="宋体" w:cs="Arial"/>
          <w:b/>
          <w:sz w:val="24"/>
          <w:szCs w:val="24"/>
          <w:lang w:val="en-US" w:eastAsia="zh-CN"/>
        </w:rPr>
        <w:t xml:space="preserve">                                        </w:t>
      </w:r>
    </w:p>
    <w:p>
      <w:pPr>
        <w:tabs>
          <w:tab w:val="left" w:pos="3106"/>
          <w:tab w:val="center" w:pos="4536"/>
          <w:tab w:val="right" w:pos="9072"/>
        </w:tabs>
        <w:jc w:val="both"/>
        <w:rPr>
          <w:rFonts w:ascii="Arial" w:hAnsi="Arial" w:eastAsia="宋体"/>
          <w:b/>
          <w:sz w:val="24"/>
          <w:lang w:eastAsia="ja-JP"/>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RRM requirements for R18 maintenance NTN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5.21.3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overflowPunct w:val="0"/>
        <w:autoSpaceDE w:val="0"/>
        <w:autoSpaceDN w:val="0"/>
        <w:adjustRightInd w:val="0"/>
        <w:spacing w:before="120" w:after="120" w:line="360" w:lineRule="auto"/>
        <w:jc w:val="both"/>
        <w:textAlignment w:val="baseline"/>
        <w:rPr>
          <w:rFonts w:eastAsia="宋体"/>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eastAsia="宋体"/>
          <w:sz w:val="22"/>
          <w:lang w:val="en-US" w:eastAsia="zh-CN"/>
        </w:rPr>
        <w:t xml:space="preserve">In the last meeting, we discussed the location-based cell re-selection in earth moving cell NTN deployments and in #108 meeting we will specify the requirements for NTN-NTN cell re-selection enhancements and the NTN-TN cell re-selection enhancements, what we discussed before were captured in [2]. </w:t>
      </w:r>
    </w:p>
    <w:p>
      <w:pPr>
        <w:pStyle w:val="77"/>
        <w:rPr>
          <w:lang w:val="en-US"/>
        </w:rPr>
      </w:pPr>
      <w:r>
        <w:rPr>
          <w:lang w:val="en-US"/>
        </w:rPr>
        <w:t>Discussion</w:t>
      </w:r>
    </w:p>
    <w:p>
      <w:pPr>
        <w:spacing w:line="360" w:lineRule="auto"/>
        <w:rPr>
          <w:rFonts w:hint="eastAsia"/>
          <w:sz w:val="22"/>
          <w:szCs w:val="22"/>
          <w:lang w:val="en-US" w:eastAsia="zh-CN"/>
        </w:rPr>
      </w:pPr>
      <w:r>
        <w:rPr>
          <w:rFonts w:hint="eastAsia"/>
          <w:sz w:val="22"/>
          <w:szCs w:val="22"/>
          <w:lang w:val="en-US" w:eastAsia="zh-CN"/>
        </w:rPr>
        <w:t>In previous meeting, RAN4 has already reached the following agreement on Idle/Inactive/Connected mode mobility enhancements.</w:t>
      </w:r>
    </w:p>
    <w:p>
      <w:pPr>
        <w:pStyle w:val="3"/>
        <w:bidi w:val="0"/>
        <w:rPr>
          <w:rFonts w:hint="default"/>
          <w:lang w:val="en-US" w:eastAsia="zh-CN"/>
        </w:rPr>
      </w:pPr>
      <w:r>
        <w:rPr>
          <w:rFonts w:hint="eastAsia"/>
          <w:lang w:val="en-US" w:eastAsia="zh-CN"/>
        </w:rPr>
        <w:t>2.1 Idle/Inactive mode mobility enhancements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outlineLvl w:val="2"/>
              <w:rPr>
                <w:rFonts w:hint="default"/>
                <w:b/>
                <w:sz w:val="20"/>
                <w:szCs w:val="20"/>
                <w:u w:val="single"/>
                <w:lang w:eastAsia="ko-KR"/>
              </w:rPr>
            </w:pPr>
            <w:r>
              <w:rPr>
                <w:rFonts w:hint="default"/>
                <w:b/>
                <w:sz w:val="20"/>
                <w:szCs w:val="20"/>
                <w:u w:val="single"/>
                <w:lang w:eastAsia="ko-KR"/>
              </w:rPr>
              <w:t>Issue 4-1: TN to NTN cell reselection</w:t>
            </w:r>
          </w:p>
          <w:p>
            <w:pPr>
              <w:keepNext w:val="0"/>
              <w:keepLines w:val="0"/>
              <w:widowControl/>
              <w:suppressLineNumbers w:val="0"/>
              <w:spacing w:before="0" w:beforeAutospacing="0" w:afterAutospacing="0"/>
              <w:ind w:left="0" w:right="0"/>
              <w:rPr>
                <w:rFonts w:hint="default"/>
                <w:b/>
                <w:bCs/>
                <w:iCs/>
                <w:sz w:val="20"/>
                <w:szCs w:val="20"/>
                <w:lang w:eastAsia="zh-CN"/>
              </w:rPr>
            </w:pPr>
            <w:r>
              <w:rPr>
                <w:rFonts w:hint="default"/>
                <w:b/>
                <w:bCs/>
                <w:iCs/>
                <w:sz w:val="20"/>
                <w:szCs w:val="20"/>
                <w:highlight w:val="green"/>
                <w:lang w:eastAsia="zh-CN"/>
              </w:rPr>
              <w:t>Agreement (online):</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line="240" w:lineRule="auto"/>
              <w:ind w:right="0"/>
              <w:textAlignment w:val="baseline"/>
              <w:rPr>
                <w:rFonts w:hint="default" w:eastAsia="等线"/>
                <w:iCs/>
                <w:kern w:val="2"/>
                <w:sz w:val="21"/>
                <w:szCs w:val="21"/>
                <w:lang w:val="en-US" w:eastAsia="zh-CN"/>
              </w:rPr>
            </w:pPr>
            <w:r>
              <w:rPr>
                <w:rFonts w:hint="default" w:eastAsia="等线"/>
                <w:iCs/>
                <w:kern w:val="2"/>
                <w:sz w:val="21"/>
                <w:szCs w:val="21"/>
                <w:lang w:val="en-US" w:eastAsia="zh-CN"/>
              </w:rPr>
              <w:t>For NTN incapable UE, if both TN and NTN carriers are broadcasted for neighbour cells measurement in IDLE/Inactive mode, the existing TN-to-TN cell reselection requirements apply.</w:t>
            </w:r>
          </w:p>
          <w:p>
            <w:pPr>
              <w:keepNext w:val="0"/>
              <w:keepLines w:val="0"/>
              <w:widowControl/>
              <w:suppressLineNumbers w:val="0"/>
              <w:overflowPunct w:val="0"/>
              <w:autoSpaceDE w:val="0"/>
              <w:autoSpaceDN w:val="0"/>
              <w:adjustRightInd w:val="0"/>
              <w:snapToGrid w:val="0"/>
              <w:spacing w:before="0" w:beforeAutospacing="0" w:after="120" w:afterAutospacing="0" w:line="240" w:lineRule="auto"/>
              <w:ind w:left="0" w:right="0"/>
              <w:textAlignment w:val="baseline"/>
              <w:rPr>
                <w:rFonts w:hint="default" w:eastAsia="等线"/>
                <w:iCs/>
                <w:kern w:val="2"/>
                <w:sz w:val="21"/>
                <w:szCs w:val="21"/>
                <w:highlight w:val="green"/>
                <w:lang w:val="en-US" w:eastAsia="zh-CN"/>
              </w:rPr>
            </w:pPr>
          </w:p>
          <w:p>
            <w:pPr>
              <w:keepNext w:val="0"/>
              <w:keepLines w:val="0"/>
              <w:widowControl/>
              <w:suppressLineNumbers w:val="0"/>
              <w:overflowPunct w:val="0"/>
              <w:autoSpaceDE w:val="0"/>
              <w:autoSpaceDN w:val="0"/>
              <w:adjustRightInd w:val="0"/>
              <w:snapToGrid w:val="0"/>
              <w:spacing w:before="0" w:beforeAutospacing="0" w:after="120" w:afterAutospacing="0" w:line="240" w:lineRule="auto"/>
              <w:ind w:left="0" w:right="0"/>
              <w:textAlignment w:val="baseline"/>
              <w:rPr>
                <w:rFonts w:hint="default" w:eastAsia="等线"/>
                <w:iCs/>
                <w:kern w:val="2"/>
                <w:sz w:val="21"/>
                <w:szCs w:val="21"/>
                <w:lang w:val="en-US" w:eastAsia="zh-CN"/>
              </w:rPr>
            </w:pPr>
            <w:r>
              <w:rPr>
                <w:rFonts w:hint="default" w:eastAsia="等线"/>
                <w:iCs/>
                <w:kern w:val="2"/>
                <w:sz w:val="21"/>
                <w:szCs w:val="21"/>
                <w:highlight w:val="yellow"/>
                <w:lang w:val="en-US" w:eastAsia="zh-CN"/>
              </w:rPr>
              <w:t>FFS:</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line="240" w:lineRule="auto"/>
              <w:ind w:right="0"/>
              <w:textAlignment w:val="baseline"/>
              <w:rPr>
                <w:rFonts w:hint="default" w:eastAsia="等线"/>
                <w:iCs/>
                <w:kern w:val="2"/>
                <w:sz w:val="21"/>
                <w:szCs w:val="21"/>
                <w:lang w:val="en-US" w:eastAsia="zh-CN"/>
              </w:rPr>
            </w:pPr>
            <w:r>
              <w:rPr>
                <w:rFonts w:hint="default"/>
                <w:iCs/>
                <w:sz w:val="20"/>
                <w:szCs w:val="20"/>
              </w:rPr>
              <w:t>For TN to NTN cell re-selection requirement when Srxlev ≤ S</w:t>
            </w:r>
            <w:r>
              <w:rPr>
                <w:rFonts w:hint="default"/>
                <w:iCs/>
                <w:sz w:val="20"/>
                <w:szCs w:val="20"/>
                <w:vertAlign w:val="subscript"/>
              </w:rPr>
              <w:t>nonIntraSearchP</w:t>
            </w:r>
            <w:r>
              <w:rPr>
                <w:rFonts w:hint="default"/>
                <w:iCs/>
                <w:sz w:val="20"/>
                <w:szCs w:val="20"/>
              </w:rPr>
              <w:t xml:space="preserve"> or Squal ≤ S</w:t>
            </w:r>
            <w:r>
              <w:rPr>
                <w:rFonts w:hint="default"/>
                <w:iCs/>
                <w:sz w:val="20"/>
                <w:szCs w:val="20"/>
                <w:vertAlign w:val="subscript"/>
              </w:rPr>
              <w:t>nonIntraSearchQ</w:t>
            </w:r>
            <w:r>
              <w:rPr>
                <w:rFonts w:hint="default"/>
                <w:iCs/>
                <w:sz w:val="20"/>
                <w:szCs w:val="20"/>
              </w:rPr>
              <w:t>, if UE is configured by network to have at least one high priority carrier which contains NTN cells, the requirements for GNSS ON shall be applied</w:t>
            </w:r>
            <w:r>
              <w:rPr>
                <w:rFonts w:hint="eastAsia"/>
                <w:iCs/>
                <w:sz w:val="20"/>
                <w:szCs w:val="20"/>
                <w:lang w:val="en-US" w:eastAsia="zh-CN"/>
              </w:rPr>
              <w:t>.</w:t>
            </w:r>
          </w:p>
          <w:p>
            <w:pPr>
              <w:keepNext w:val="0"/>
              <w:keepLines w:val="0"/>
              <w:widowControl/>
              <w:suppressLineNumbers w:val="0"/>
              <w:overflowPunct w:val="0"/>
              <w:autoSpaceDE w:val="0"/>
              <w:autoSpaceDN w:val="0"/>
              <w:adjustRightInd w:val="0"/>
              <w:snapToGrid w:val="0"/>
              <w:spacing w:before="0" w:beforeAutospacing="0" w:after="120" w:afterAutospacing="0" w:line="240" w:lineRule="auto"/>
              <w:ind w:left="0" w:right="0"/>
              <w:textAlignment w:val="baseline"/>
              <w:rPr>
                <w:rFonts w:hint="default" w:eastAsia="等线"/>
                <w:iCs/>
                <w:kern w:val="2"/>
                <w:sz w:val="21"/>
                <w:szCs w:val="21"/>
                <w:lang w:val="en-US" w:eastAsia="zh-CN"/>
              </w:rPr>
            </w:pPr>
          </w:p>
          <w:p>
            <w:pPr>
              <w:keepNext w:val="0"/>
              <w:keepLines w:val="0"/>
              <w:widowControl/>
              <w:suppressLineNumbers w:val="0"/>
              <w:spacing w:before="0" w:beforeAutospacing="0" w:afterAutospacing="0"/>
              <w:ind w:left="0" w:right="0"/>
              <w:outlineLvl w:val="2"/>
              <w:rPr>
                <w:rFonts w:hint="default"/>
                <w:b/>
                <w:sz w:val="20"/>
                <w:szCs w:val="20"/>
                <w:u w:val="single"/>
                <w:lang w:eastAsia="ko-KR"/>
              </w:rPr>
            </w:pPr>
            <w:r>
              <w:rPr>
                <w:rFonts w:hint="default"/>
                <w:b/>
                <w:sz w:val="20"/>
                <w:szCs w:val="20"/>
                <w:u w:val="single"/>
                <w:lang w:eastAsia="ko-KR"/>
              </w:rPr>
              <w:t>Issue 4-2: NTN to TN cell reselection</w:t>
            </w:r>
          </w:p>
          <w:p>
            <w:pPr>
              <w:keepNext w:val="0"/>
              <w:keepLines w:val="0"/>
              <w:widowControl/>
              <w:suppressLineNumbers w:val="0"/>
              <w:overflowPunct w:val="0"/>
              <w:autoSpaceDE w:val="0"/>
              <w:autoSpaceDN w:val="0"/>
              <w:adjustRightInd w:val="0"/>
              <w:snapToGrid w:val="0"/>
              <w:spacing w:before="0" w:beforeAutospacing="0" w:after="120" w:afterAutospacing="0" w:line="240" w:lineRule="auto"/>
              <w:ind w:left="0" w:right="0"/>
              <w:textAlignment w:val="baseline"/>
              <w:rPr>
                <w:rFonts w:hint="default" w:eastAsia="等线"/>
                <w:iCs/>
                <w:kern w:val="2"/>
                <w:sz w:val="21"/>
                <w:szCs w:val="21"/>
                <w:lang w:val="en-US" w:eastAsia="zh-CN"/>
              </w:rPr>
            </w:pPr>
            <w:r>
              <w:rPr>
                <w:rFonts w:hint="default" w:eastAsia="等线"/>
                <w:iCs/>
                <w:kern w:val="2"/>
                <w:sz w:val="21"/>
                <w:szCs w:val="21"/>
                <w:highlight w:val="yellow"/>
                <w:lang w:val="en-US" w:eastAsia="zh-CN"/>
              </w:rPr>
              <w:t>FFS:</w:t>
            </w:r>
          </w:p>
          <w:p>
            <w:pPr>
              <w:pStyle w:val="73"/>
              <w:keepNext w:val="0"/>
              <w:keepLines w:val="0"/>
              <w:widowControl/>
              <w:numPr>
                <w:ilvl w:val="0"/>
                <w:numId w:val="3"/>
              </w:numPr>
              <w:suppressLineNumbers w:val="0"/>
              <w:spacing w:before="0" w:beforeAutospacing="0" w:after="240" w:afterAutospacing="0"/>
              <w:ind w:right="0" w:firstLineChars="0"/>
              <w:rPr>
                <w:rFonts w:hint="default"/>
                <w:bCs/>
              </w:rPr>
            </w:pPr>
            <w:r>
              <w:rPr>
                <w:rFonts w:hint="default"/>
                <w:bCs/>
              </w:rPr>
              <w:t xml:space="preserve">Clarify that </w:t>
            </w:r>
            <w:r>
              <w:rPr>
                <w:rFonts w:hint="eastAsia"/>
                <w:bCs/>
              </w:rPr>
              <w:t>the</w:t>
            </w:r>
            <w:r>
              <w:rPr>
                <w:rFonts w:hint="default"/>
                <w:bCs/>
              </w:rPr>
              <w:t xml:space="preserve"> requirements for NR NTN to LTE TN inter-RAT cell re-selection is defined as N</w:t>
            </w:r>
            <w:r>
              <w:rPr>
                <w:rFonts w:hint="default"/>
                <w:bCs/>
                <w:vertAlign w:val="subscript"/>
              </w:rPr>
              <w:t>EUTRA_carrier</w:t>
            </w:r>
            <w:r>
              <w:rPr>
                <w:rFonts w:hint="default"/>
                <w:bCs/>
              </w:rPr>
              <w:t xml:space="preserve"> * T</w:t>
            </w:r>
            <w:r>
              <w:rPr>
                <w:rFonts w:hint="default"/>
                <w:bCs/>
                <w:vertAlign w:val="subscript"/>
              </w:rPr>
              <w:t>detect/measure/evaluate,EUTRAN</w:t>
            </w:r>
            <w:r>
              <w:rPr>
                <w:rFonts w:hint="default"/>
                <w:bCs/>
              </w:rPr>
              <w:t>, where</w:t>
            </w:r>
          </w:p>
          <w:p>
            <w:pPr>
              <w:pStyle w:val="73"/>
              <w:keepNext w:val="0"/>
              <w:keepLines w:val="0"/>
              <w:widowControl/>
              <w:numPr>
                <w:ilvl w:val="1"/>
                <w:numId w:val="3"/>
              </w:numPr>
              <w:suppressLineNumbers w:val="0"/>
              <w:tabs>
                <w:tab w:val="left" w:pos="426"/>
                <w:tab w:val="left" w:pos="1134"/>
              </w:tabs>
              <w:spacing w:before="136" w:beforeLines="50" w:beforeAutospacing="0" w:afterAutospacing="0"/>
              <w:ind w:right="0" w:firstLineChars="0"/>
              <w:jc w:val="both"/>
              <w:rPr>
                <w:rFonts w:hint="default"/>
                <w:bCs/>
              </w:rPr>
            </w:pPr>
            <w:r>
              <w:rPr>
                <w:rFonts w:hint="default"/>
                <w:bCs/>
              </w:rPr>
              <w:t>The parameter N</w:t>
            </w:r>
            <w:r>
              <w:rPr>
                <w:rFonts w:hint="default"/>
                <w:bCs/>
                <w:vertAlign w:val="subscript"/>
              </w:rPr>
              <w:t>EUTRA_carrier</w:t>
            </w:r>
            <w:r>
              <w:rPr>
                <w:rFonts w:hint="default"/>
                <w:bCs/>
              </w:rPr>
              <w:t xml:space="preserve"> is the number of configured E-UTRA carriers indicated in the neighbour frequency list by serving cell, except for the frequency carrier where there is no coverage of that frequency based on the provide TN cell coverage information and UE GNSS position information.</w:t>
            </w:r>
          </w:p>
          <w:p>
            <w:pPr>
              <w:pStyle w:val="73"/>
              <w:keepNext w:val="0"/>
              <w:keepLines w:val="0"/>
              <w:widowControl/>
              <w:numPr>
                <w:ilvl w:val="1"/>
                <w:numId w:val="3"/>
              </w:numPr>
              <w:suppressLineNumbers w:val="0"/>
              <w:tabs>
                <w:tab w:val="left" w:pos="426"/>
                <w:tab w:val="left" w:pos="1134"/>
              </w:tabs>
              <w:spacing w:before="136" w:beforeLines="50" w:beforeAutospacing="0" w:afterAutospacing="0"/>
              <w:ind w:right="0" w:firstLineChars="0"/>
              <w:jc w:val="both"/>
              <w:rPr>
                <w:rFonts w:hint="eastAsia"/>
                <w:sz w:val="22"/>
                <w:szCs w:val="22"/>
                <w:vertAlign w:val="baseline"/>
                <w:lang w:val="en-US" w:eastAsia="zh-CN"/>
              </w:rPr>
            </w:pPr>
            <w:r>
              <w:rPr>
                <w:rFonts w:hint="default"/>
                <w:bCs/>
              </w:rPr>
              <w:t>T</w:t>
            </w:r>
            <w:r>
              <w:rPr>
                <w:rFonts w:hint="default"/>
                <w:bCs/>
                <w:vertAlign w:val="subscript"/>
              </w:rPr>
              <w:t>detect/measure/evaluate,EUTRAN</w:t>
            </w:r>
            <w:r>
              <w:rPr>
                <w:rFonts w:hint="default"/>
                <w:bCs/>
              </w:rPr>
              <w:t xml:space="preserve"> is the inter-RAT E-UTRAN TN cell re-selection requirement defined in Table 4.2.2.5-1 in TS 38.133</w:t>
            </w:r>
          </w:p>
        </w:tc>
      </w:tr>
    </w:tbl>
    <w:p>
      <w:pPr>
        <w:spacing w:line="360" w:lineRule="auto"/>
        <w:rPr>
          <w:rFonts w:eastAsia="宋体"/>
          <w:b/>
          <w:sz w:val="22"/>
          <w:lang w:val="en-US" w:eastAsia="zh-CN"/>
        </w:rPr>
      </w:pPr>
      <w:r>
        <w:rPr>
          <w:rFonts w:hint="eastAsia"/>
          <w:sz w:val="22"/>
          <w:szCs w:val="22"/>
          <w:lang w:val="en-US" w:eastAsia="zh-CN"/>
        </w:rPr>
        <w:t xml:space="preserve"> </w:t>
      </w:r>
    </w:p>
    <w:p>
      <w:pPr>
        <w:spacing w:line="360" w:lineRule="auto"/>
        <w:rPr>
          <w:rFonts w:hint="default" w:eastAsia="宋体"/>
          <w:b/>
          <w:bCs/>
          <w:sz w:val="22"/>
          <w:lang w:val="en-US" w:eastAsia="zh-CN"/>
        </w:rPr>
      </w:pPr>
      <w:r>
        <w:rPr>
          <w:rFonts w:hint="eastAsia" w:eastAsia="宋体"/>
          <w:b/>
          <w:bCs/>
          <w:sz w:val="22"/>
          <w:lang w:val="en-US" w:eastAsia="zh-CN"/>
        </w:rPr>
        <w:t>TN to NTN cell re-selection</w:t>
      </w:r>
    </w:p>
    <w:p>
      <w:pPr>
        <w:spacing w:line="360" w:lineRule="auto"/>
        <w:jc w:val="both"/>
        <w:rPr>
          <w:rFonts w:hint="eastAsia" w:eastAsia="宋体"/>
          <w:iCs/>
          <w:lang w:val="en-US" w:eastAsia="zh-CN"/>
        </w:rPr>
      </w:pPr>
      <w:r>
        <w:rPr>
          <w:rFonts w:hint="eastAsia" w:eastAsia="等线"/>
          <w:iCs/>
          <w:kern w:val="2"/>
          <w:sz w:val="21"/>
          <w:szCs w:val="21"/>
          <w:lang w:val="en-US" w:eastAsia="zh-CN"/>
        </w:rPr>
        <w:t xml:space="preserve"> </w:t>
      </w:r>
      <w:r>
        <w:rPr>
          <w:rFonts w:hint="eastAsia" w:eastAsia="宋体"/>
          <w:sz w:val="22"/>
          <w:lang w:val="en-US" w:eastAsia="zh-CN"/>
        </w:rPr>
        <w:t xml:space="preserve">For this part, we have already introduced GNSS ON when NTN capable UE which stays in TN cell and would like to reselect to NTN cell. We find that if the UE is NTN incapable, even </w:t>
      </w:r>
      <w:r>
        <w:rPr>
          <w:rFonts w:eastAsia="等线"/>
          <w:iCs/>
          <w:kern w:val="2"/>
          <w:sz w:val="21"/>
          <w:szCs w:val="21"/>
          <w:lang w:val="en-US" w:eastAsia="zh-CN"/>
        </w:rPr>
        <w:t>if both TN and NTN carriers are broadcasted for neighbour cells measurement in IDLE/Inactive mode, the existing TN-to-TN cell reselection requirements apply</w:t>
      </w:r>
      <w:r>
        <w:rPr>
          <w:rFonts w:hint="eastAsia" w:eastAsia="等线"/>
          <w:iCs/>
          <w:kern w:val="2"/>
          <w:sz w:val="21"/>
          <w:szCs w:val="21"/>
          <w:lang w:val="en-US" w:eastAsia="zh-CN"/>
        </w:rPr>
        <w:t xml:space="preserve">, then GNSS will always be OFF. However, one thing is raised when UE turn on the GNSS switch from OFF to ON. Since it will cause time consuming and the whole delay for cell re-selection is increased if the mobility/cell re-selection is triggered for first time . Then we consider to select some conditions to help UE decide whether the GNSS ON shall be kept or not, even the UE stays in TN coverage. One condition is </w:t>
      </w:r>
      <w:r>
        <w:rPr>
          <w:rFonts w:hint="default" w:eastAsia="等线"/>
          <w:iCs/>
          <w:kern w:val="2"/>
          <w:sz w:val="21"/>
          <w:szCs w:val="21"/>
          <w:lang w:val="en-US" w:eastAsia="zh-CN"/>
        </w:rPr>
        <w:t>“</w:t>
      </w:r>
      <w:r>
        <w:rPr>
          <w:rFonts w:hint="eastAsia" w:eastAsia="等线"/>
          <w:iCs/>
          <w:kern w:val="2"/>
          <w:sz w:val="21"/>
          <w:szCs w:val="21"/>
          <w:lang w:val="en-US" w:eastAsia="zh-CN"/>
        </w:rPr>
        <w:t>F</w:t>
      </w:r>
      <w:r>
        <w:rPr>
          <w:iCs/>
        </w:rPr>
        <w:t>or TN to NTN cell re-selection requirement when Srxlev ≤ S</w:t>
      </w:r>
      <w:r>
        <w:rPr>
          <w:iCs/>
          <w:vertAlign w:val="subscript"/>
        </w:rPr>
        <w:t>nonIntraSearchP</w:t>
      </w:r>
      <w:r>
        <w:rPr>
          <w:iCs/>
        </w:rPr>
        <w:t xml:space="preserve"> or Squal ≤ S</w:t>
      </w:r>
      <w:r>
        <w:rPr>
          <w:iCs/>
          <w:vertAlign w:val="subscript"/>
        </w:rPr>
        <w:t>nonIntraSearchQ</w:t>
      </w:r>
      <w:r>
        <w:rPr>
          <w:iCs/>
        </w:rPr>
        <w:t>, if UE is configured by network to have at least one high priority carrier which contains NTN cells, the requirements for GNSS ON shall be applied</w:t>
      </w:r>
      <w:r>
        <w:rPr>
          <w:rFonts w:hint="default" w:eastAsia="宋体"/>
          <w:iCs/>
          <w:lang w:val="en-US" w:eastAsia="zh-CN"/>
        </w:rPr>
        <w:t>”</w:t>
      </w:r>
      <w:r>
        <w:rPr>
          <w:rFonts w:hint="eastAsia" w:eastAsia="宋体"/>
          <w:iCs/>
          <w:lang w:val="en-US" w:eastAsia="zh-CN"/>
        </w:rPr>
        <w:t>. From my perspective, this can be applied. We can see the following spec:</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TS 38.133 4.2C.2.4</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Srxlev &gt; S</w:t>
            </w:r>
            <w:r>
              <w:rPr>
                <w:rFonts w:hint="default"/>
                <w:sz w:val="20"/>
                <w:szCs w:val="20"/>
                <w:vertAlign w:val="subscript"/>
              </w:rPr>
              <w:t>nonIntraSearchP</w:t>
            </w:r>
            <w:r>
              <w:rPr>
                <w:rFonts w:hint="default"/>
                <w:sz w:val="20"/>
                <w:szCs w:val="20"/>
              </w:rPr>
              <w:t xml:space="preserve"> and Squal &gt; S</w:t>
            </w:r>
            <w:r>
              <w:rPr>
                <w:rFonts w:hint="default"/>
                <w:sz w:val="20"/>
                <w:szCs w:val="20"/>
                <w:vertAlign w:val="subscript"/>
              </w:rPr>
              <w:t>nonIntraSearchQ</w:t>
            </w:r>
            <w:r>
              <w:rPr>
                <w:rFonts w:hint="default"/>
                <w:sz w:val="20"/>
                <w:szCs w:val="20"/>
              </w:rPr>
              <w:t xml:space="preserve">, and the distance between UE and serving cell reference location </w:t>
            </w:r>
            <w:r>
              <w:rPr>
                <w:rFonts w:hint="eastAsia"/>
                <w:sz w:val="20"/>
                <w:szCs w:val="20"/>
                <w:lang w:val="en-US" w:eastAsia="zh-CN"/>
              </w:rPr>
              <w:t xml:space="preserve">or serving cell moving reference location </w:t>
            </w:r>
            <w:r>
              <w:rPr>
                <w:rFonts w:hint="default"/>
                <w:sz w:val="20"/>
                <w:szCs w:val="20"/>
              </w:rPr>
              <w:t xml:space="preserve">is smaller than </w:t>
            </w:r>
            <w:r>
              <w:rPr>
                <w:rFonts w:hint="default"/>
                <w:i/>
                <w:sz w:val="20"/>
                <w:szCs w:val="20"/>
              </w:rPr>
              <w:t>distanceThresh</w:t>
            </w:r>
            <w:r>
              <w:rPr>
                <w:rFonts w:hint="default"/>
                <w:sz w:val="20"/>
                <w:szCs w:val="20"/>
              </w:rPr>
              <w:t xml:space="preserve"> if </w:t>
            </w:r>
            <w:r>
              <w:rPr>
                <w:rFonts w:hint="default"/>
                <w:i/>
                <w:sz w:val="20"/>
                <w:szCs w:val="20"/>
              </w:rPr>
              <w:t>distanceThresh</w:t>
            </w:r>
            <w:r>
              <w:rPr>
                <w:rFonts w:hint="default"/>
                <w:sz w:val="20"/>
                <w:szCs w:val="20"/>
              </w:rPr>
              <w:t xml:space="preserve"> is configured and UE has location information, </w:t>
            </w:r>
            <w:r>
              <w:rPr>
                <w:rFonts w:hint="default"/>
                <w:sz w:val="20"/>
                <w:szCs w:val="20"/>
                <w:highlight w:val="yellow"/>
              </w:rPr>
              <w:t>then the UE shall search for inter-frequency layers of higher priority at least every T</w:t>
            </w:r>
            <w:r>
              <w:rPr>
                <w:rFonts w:hint="default"/>
                <w:sz w:val="20"/>
                <w:szCs w:val="20"/>
                <w:highlight w:val="yellow"/>
                <w:vertAlign w:val="subscript"/>
              </w:rPr>
              <w:t xml:space="preserve">higher_priority_search </w:t>
            </w:r>
            <w:r>
              <w:rPr>
                <w:rFonts w:hint="default"/>
                <w:sz w:val="20"/>
                <w:szCs w:val="20"/>
                <w:highlight w:val="yellow"/>
              </w:rPr>
              <w:t>where T</w:t>
            </w:r>
            <w:r>
              <w:rPr>
                <w:rFonts w:hint="default"/>
                <w:sz w:val="20"/>
                <w:szCs w:val="20"/>
                <w:highlight w:val="yellow"/>
                <w:vertAlign w:val="subscript"/>
              </w:rPr>
              <w:t>higher_priority_search</w:t>
            </w:r>
            <w:r>
              <w:rPr>
                <w:rFonts w:hint="default"/>
                <w:sz w:val="20"/>
                <w:szCs w:val="20"/>
                <w:highlight w:val="yellow"/>
              </w:rPr>
              <w:t xml:space="preserve"> is described in clause 4.2C.2.9.</w:t>
            </w:r>
          </w:p>
          <w:p>
            <w:pPr>
              <w:keepNext w:val="0"/>
              <w:keepLines w:val="0"/>
              <w:widowControl/>
              <w:suppressLineNumbers w:val="0"/>
              <w:spacing w:before="0" w:beforeAutospacing="0" w:afterAutospacing="0"/>
              <w:ind w:left="0" w:right="0"/>
              <w:rPr>
                <w:rFonts w:hint="default" w:eastAsia="宋体"/>
                <w:iCs/>
                <w:sz w:val="20"/>
                <w:szCs w:val="20"/>
                <w:vertAlign w:val="baseline"/>
                <w:lang w:val="en-US" w:eastAsia="zh-CN"/>
              </w:rPr>
            </w:pPr>
            <w:r>
              <w:rPr>
                <w:rFonts w:hint="default"/>
                <w:sz w:val="20"/>
                <w:szCs w:val="20"/>
              </w:rPr>
              <w:t xml:space="preserve">If Srxlev </w:t>
            </w:r>
            <w:r>
              <w:rPr>
                <w:rFonts w:hint="default"/>
                <w:sz w:val="20"/>
                <w:szCs w:val="20"/>
                <w:lang w:val="en-US"/>
              </w:rPr>
              <w:t>≤</w:t>
            </w:r>
            <w:r>
              <w:rPr>
                <w:rFonts w:hint="default"/>
                <w:sz w:val="20"/>
                <w:szCs w:val="20"/>
              </w:rPr>
              <w:t xml:space="preserve"> S</w:t>
            </w:r>
            <w:r>
              <w:rPr>
                <w:rFonts w:hint="default"/>
                <w:sz w:val="20"/>
                <w:szCs w:val="20"/>
                <w:vertAlign w:val="subscript"/>
              </w:rPr>
              <w:t>nonIntraSearchP</w:t>
            </w:r>
            <w:r>
              <w:rPr>
                <w:rFonts w:hint="default"/>
                <w:sz w:val="20"/>
                <w:szCs w:val="20"/>
              </w:rPr>
              <w:t xml:space="preserve"> or Squal </w:t>
            </w:r>
            <w:r>
              <w:rPr>
                <w:rFonts w:hint="default"/>
                <w:sz w:val="20"/>
                <w:szCs w:val="20"/>
                <w:lang w:val="en-US"/>
              </w:rPr>
              <w:t>≤</w:t>
            </w:r>
            <w:r>
              <w:rPr>
                <w:rFonts w:hint="default"/>
                <w:sz w:val="20"/>
                <w:szCs w:val="20"/>
              </w:rPr>
              <w:t xml:space="preserve"> S</w:t>
            </w:r>
            <w:r>
              <w:rPr>
                <w:rFonts w:hint="default"/>
                <w:sz w:val="20"/>
                <w:szCs w:val="20"/>
                <w:vertAlign w:val="subscript"/>
              </w:rPr>
              <w:t>nonIntraSearchQ</w:t>
            </w:r>
            <w:r>
              <w:rPr>
                <w:rFonts w:hint="default"/>
                <w:sz w:val="20"/>
                <w:szCs w:val="20"/>
              </w:rPr>
              <w:t xml:space="preserve">, or the distance between UE and serving cell reference location </w:t>
            </w:r>
            <w:r>
              <w:rPr>
                <w:rFonts w:hint="eastAsia"/>
                <w:sz w:val="20"/>
                <w:szCs w:val="20"/>
                <w:lang w:val="en-US" w:eastAsia="zh-CN"/>
              </w:rPr>
              <w:t xml:space="preserve">or serving cell moving reference location </w:t>
            </w:r>
            <w:r>
              <w:rPr>
                <w:rFonts w:hint="default"/>
                <w:sz w:val="20"/>
                <w:szCs w:val="20"/>
              </w:rPr>
              <w:t xml:space="preserve">is larger than </w:t>
            </w:r>
            <w:r>
              <w:rPr>
                <w:rFonts w:hint="default"/>
                <w:i/>
                <w:sz w:val="20"/>
                <w:szCs w:val="20"/>
              </w:rPr>
              <w:t>distanceThresh</w:t>
            </w:r>
            <w:r>
              <w:rPr>
                <w:rFonts w:hint="default"/>
                <w:sz w:val="20"/>
                <w:szCs w:val="20"/>
              </w:rPr>
              <w:t xml:space="preserve"> if </w:t>
            </w:r>
            <w:r>
              <w:rPr>
                <w:rFonts w:hint="default"/>
                <w:i/>
                <w:sz w:val="20"/>
                <w:szCs w:val="20"/>
              </w:rPr>
              <w:t>distanceThresh</w:t>
            </w:r>
            <w:r>
              <w:rPr>
                <w:rFonts w:hint="default"/>
                <w:sz w:val="20"/>
                <w:szCs w:val="20"/>
              </w:rPr>
              <w:t xml:space="preserve"> is configured and UE has location information, then the </w:t>
            </w:r>
            <w:r>
              <w:rPr>
                <w:rFonts w:hint="default"/>
                <w:sz w:val="20"/>
                <w:szCs w:val="20"/>
                <w:highlight w:val="yellow"/>
              </w:rPr>
              <w:t xml:space="preserve">UE shall search for and measure inter-frequency layers of higher, equal or lower priority </w:t>
            </w:r>
            <w:r>
              <w:rPr>
                <w:rFonts w:hint="default"/>
                <w:sz w:val="20"/>
                <w:szCs w:val="20"/>
              </w:rPr>
              <w:t xml:space="preserve">in preparation for possible reselection. The requirements apply provided that the distance exceeds the </w:t>
            </w:r>
            <w:r>
              <w:rPr>
                <w:rFonts w:hint="default"/>
                <w:i/>
                <w:sz w:val="20"/>
                <w:szCs w:val="20"/>
              </w:rPr>
              <w:t>distanceThresh</w:t>
            </w:r>
            <w:r>
              <w:rPr>
                <w:rFonts w:hint="default"/>
                <w:sz w:val="20"/>
                <w:szCs w:val="20"/>
              </w:rPr>
              <w:t xml:space="preserve"> by a margin of 50 m</w:t>
            </w:r>
            <w:r>
              <w:rPr>
                <w:rFonts w:hint="eastAsia"/>
                <w:sz w:val="20"/>
                <w:szCs w:val="20"/>
                <w:lang w:val="en-US" w:eastAsia="zh-CN"/>
              </w:rPr>
              <w:t xml:space="preserve"> when </w:t>
            </w:r>
            <w:r>
              <w:rPr>
                <w:rFonts w:hint="default"/>
                <w:i/>
                <w:iCs/>
                <w:sz w:val="20"/>
                <w:szCs w:val="20"/>
              </w:rPr>
              <w:t>referenceLocation</w:t>
            </w:r>
            <w:r>
              <w:rPr>
                <w:rFonts w:hint="default"/>
                <w:sz w:val="20"/>
                <w:szCs w:val="20"/>
              </w:rPr>
              <w:t xml:space="preserve"> </w:t>
            </w:r>
            <w:r>
              <w:rPr>
                <w:rFonts w:hint="eastAsia"/>
                <w:sz w:val="20"/>
                <w:szCs w:val="20"/>
                <w:lang w:val="en-US" w:eastAsia="zh-CN"/>
              </w:rPr>
              <w:t>is</w:t>
            </w:r>
            <w:r>
              <w:rPr>
                <w:rFonts w:hint="default"/>
                <w:sz w:val="20"/>
                <w:szCs w:val="20"/>
              </w:rPr>
              <w:t xml:space="preserve"> configured by the network</w:t>
            </w:r>
            <w:r>
              <w:rPr>
                <w:rFonts w:hint="eastAsia"/>
                <w:sz w:val="20"/>
                <w:szCs w:val="20"/>
                <w:lang w:val="en-US" w:eastAsia="zh-CN"/>
              </w:rPr>
              <w:t xml:space="preserve"> or [80]m when </w:t>
            </w:r>
            <w:r>
              <w:rPr>
                <w:rFonts w:hint="default" w:eastAsia="宋体"/>
                <w:i/>
                <w:iCs/>
                <w:sz w:val="20"/>
                <w:szCs w:val="20"/>
                <w:lang w:val="en-US" w:eastAsia="zh-CN"/>
              </w:rPr>
              <w:t>movingR</w:t>
            </w:r>
            <w:r>
              <w:rPr>
                <w:rFonts w:hint="default"/>
                <w:i/>
                <w:iCs/>
                <w:sz w:val="20"/>
                <w:szCs w:val="20"/>
              </w:rPr>
              <w:t>eferenceLocation</w:t>
            </w:r>
            <w:r>
              <w:rPr>
                <w:rFonts w:hint="default"/>
                <w:sz w:val="20"/>
                <w:szCs w:val="20"/>
              </w:rPr>
              <w:t xml:space="preserve"> </w:t>
            </w:r>
            <w:r>
              <w:rPr>
                <w:rFonts w:hint="eastAsia"/>
                <w:sz w:val="20"/>
                <w:szCs w:val="20"/>
                <w:lang w:val="en-US" w:eastAsia="zh-CN"/>
              </w:rPr>
              <w:t>is</w:t>
            </w:r>
            <w:r>
              <w:rPr>
                <w:rFonts w:hint="default"/>
                <w:sz w:val="20"/>
                <w:szCs w:val="20"/>
              </w:rPr>
              <w:t xml:space="preserve"> configured by the network. In this scenario, the minimum rate at which the UE is required to search for and measure higher priority layers shall be the same as that defined below in this clause.</w:t>
            </w:r>
          </w:p>
        </w:tc>
      </w:tr>
    </w:tbl>
    <w:p>
      <w:pPr>
        <w:spacing w:line="360" w:lineRule="auto"/>
        <w:jc w:val="both"/>
        <w:rPr>
          <w:rFonts w:hint="eastAsia" w:eastAsia="宋体"/>
          <w:iCs/>
          <w:lang w:val="en-US" w:eastAsia="zh-CN"/>
        </w:rPr>
      </w:pPr>
      <w:r>
        <w:rPr>
          <w:rFonts w:hint="eastAsia" w:eastAsia="宋体"/>
          <w:iCs/>
          <w:lang w:val="en-US" w:eastAsia="zh-CN"/>
        </w:rPr>
        <w:t>We find whatever the quality of current serving cell is good or not, if the network configures high priority frequency to UE, the UE will search for high priority at least every</w:t>
      </w:r>
      <w:r>
        <w:rPr>
          <w:rFonts w:hint="eastAsia" w:eastAsia="宋体"/>
          <w:iCs/>
          <w:highlight w:val="none"/>
          <w:lang w:val="en-US" w:eastAsia="zh-CN"/>
        </w:rPr>
        <w:t xml:space="preserve"> </w:t>
      </w:r>
      <w:r>
        <w:rPr>
          <w:highlight w:val="none"/>
        </w:rPr>
        <w:t>T</w:t>
      </w:r>
      <w:r>
        <w:rPr>
          <w:highlight w:val="none"/>
          <w:vertAlign w:val="subscript"/>
        </w:rPr>
        <w:t>higher_priority_search</w:t>
      </w:r>
      <w:r>
        <w:rPr>
          <w:rFonts w:hint="eastAsia" w:eastAsia="宋体"/>
          <w:highlight w:val="none"/>
          <w:vertAlign w:val="baseline"/>
          <w:lang w:val="en-US" w:eastAsia="zh-CN"/>
        </w:rPr>
        <w:t xml:space="preserve">. We also know that the </w:t>
      </w:r>
      <w:r>
        <w:rPr>
          <w:iCs/>
        </w:rPr>
        <w:t>high priority carrier which contains NTN cells</w:t>
      </w:r>
      <w:r>
        <w:rPr>
          <w:rFonts w:hint="eastAsia" w:eastAsia="宋体"/>
          <w:iCs/>
          <w:lang w:val="en-US" w:eastAsia="zh-CN"/>
        </w:rPr>
        <w:t>, then UE shall keep GNSS ON even if UE stays in the TN coverage. Some companies think this is up to UE implementation, but we do not think this can reduce the time consuming on switching GNSS OFF to ON for the first time.</w:t>
      </w:r>
    </w:p>
    <w:p>
      <w:pPr>
        <w:spacing w:line="360" w:lineRule="auto"/>
        <w:jc w:val="both"/>
        <w:rPr>
          <w:rFonts w:hint="eastAsia"/>
          <w:iCs/>
          <w:lang w:val="en-US" w:eastAsia="zh-CN"/>
        </w:rPr>
      </w:pPr>
      <w:r>
        <w:rPr>
          <w:rFonts w:hint="eastAsia" w:eastAsia="宋体"/>
          <w:b/>
          <w:bCs/>
          <w:iCs/>
          <w:lang w:val="en-US" w:eastAsia="zh-CN"/>
        </w:rPr>
        <w:t>Proposal 1: I</w:t>
      </w:r>
      <w:r>
        <w:rPr>
          <w:b/>
          <w:bCs/>
          <w:iCs/>
        </w:rPr>
        <w:t>f UE is configured by network to have at least one high priority carrier which contains NTN cells, the requirements for GNSS ON shall be applied</w:t>
      </w:r>
      <w:r>
        <w:rPr>
          <w:rFonts w:hint="eastAsia"/>
          <w:iCs/>
          <w:lang w:val="en-US" w:eastAsia="zh-CN"/>
        </w:rPr>
        <w:t>.</w:t>
      </w:r>
    </w:p>
    <w:p>
      <w:pPr>
        <w:spacing w:line="360" w:lineRule="auto"/>
        <w:jc w:val="both"/>
        <w:rPr>
          <w:rFonts w:hint="eastAsia"/>
          <w:b/>
          <w:bCs/>
          <w:iCs/>
          <w:lang w:val="en-US" w:eastAsia="zh-CN"/>
        </w:rPr>
      </w:pPr>
      <w:r>
        <w:rPr>
          <w:rFonts w:hint="eastAsia"/>
          <w:b/>
          <w:bCs/>
          <w:iCs/>
          <w:lang w:val="en-US" w:eastAsia="zh-CN"/>
        </w:rPr>
        <w:t>NTN to LTE TN cell re-selection</w:t>
      </w:r>
    </w:p>
    <w:p>
      <w:pPr>
        <w:spacing w:line="360" w:lineRule="auto"/>
        <w:jc w:val="both"/>
        <w:rPr>
          <w:rFonts w:hint="eastAsia"/>
          <w:iCs/>
          <w:lang w:val="en-US" w:eastAsia="zh-CN"/>
        </w:rPr>
      </w:pPr>
      <w:r>
        <w:rPr>
          <w:rFonts w:hint="eastAsia"/>
          <w:iCs/>
          <w:lang w:val="en-US" w:eastAsia="zh-CN"/>
        </w:rPr>
        <w:t>Actually, we have already defined the related cell re-selection requirements for this scenario in TS38.133 4.2C.2.11 and the definition of each parameters has been clarified in current spec. Thus, this is not an issue for us.</w:t>
      </w:r>
    </w:p>
    <w:p>
      <w:pPr>
        <w:spacing w:line="360" w:lineRule="auto"/>
        <w:jc w:val="both"/>
        <w:rPr>
          <w:rFonts w:hint="default"/>
          <w:b/>
          <w:bCs/>
          <w:iCs/>
          <w:lang w:val="en-US" w:eastAsia="zh-CN"/>
        </w:rPr>
      </w:pPr>
      <w:r>
        <w:rPr>
          <w:rFonts w:hint="eastAsia"/>
          <w:b/>
          <w:bCs/>
          <w:iCs/>
          <w:lang w:val="en-US" w:eastAsia="zh-CN"/>
        </w:rPr>
        <w:t>Observation 1: RAN4 has already defined the related cell re-selection requirements for this scenario in TS38.133 4.2C.2.11 and the definition of each parameters has been clarified in current spec.</w:t>
      </w:r>
    </w:p>
    <w:p>
      <w:pPr>
        <w:pStyle w:val="3"/>
        <w:bidi w:val="0"/>
        <w:rPr>
          <w:rFonts w:hint="default"/>
          <w:lang w:val="en-US" w:eastAsia="zh-CN"/>
        </w:rPr>
      </w:pPr>
      <w:r>
        <w:rPr>
          <w:rFonts w:hint="eastAsia"/>
          <w:lang w:val="en-US" w:eastAsia="zh-CN"/>
        </w:rPr>
        <w:t>2.2 Connected mode mobility enhancements</w:t>
      </w:r>
    </w:p>
    <w:p>
      <w:pPr>
        <w:spacing w:line="360" w:lineRule="auto"/>
        <w:jc w:val="both"/>
        <w:rPr>
          <w:rFonts w:hint="eastAsia"/>
          <w:iCs/>
          <w:lang w:val="en-US" w:eastAsia="zh-CN"/>
        </w:rPr>
      </w:pPr>
      <w:r>
        <w:rPr>
          <w:rFonts w:hint="eastAsia"/>
          <w:iCs/>
          <w:lang w:val="en-US" w:eastAsia="zh-CN"/>
        </w:rPr>
        <w:t>In previous meeting, we reached the agreements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outlineLvl w:val="2"/>
              <w:rPr>
                <w:rFonts w:hint="default"/>
                <w:b/>
                <w:sz w:val="20"/>
                <w:szCs w:val="20"/>
                <w:u w:val="single"/>
                <w:lang w:eastAsia="ko-KR"/>
              </w:rPr>
            </w:pPr>
            <w:r>
              <w:rPr>
                <w:rFonts w:hint="default"/>
                <w:b/>
                <w:sz w:val="20"/>
                <w:szCs w:val="20"/>
                <w:u w:val="single"/>
                <w:lang w:eastAsia="ko-KR"/>
              </w:rPr>
              <w:t>Issue 5-2-S: Soft’ Satellite switch</w:t>
            </w:r>
          </w:p>
          <w:p>
            <w:pPr>
              <w:keepNext w:val="0"/>
              <w:keepLines w:val="0"/>
              <w:widowControl/>
              <w:suppressLineNumbers w:val="0"/>
              <w:overflowPunct w:val="0"/>
              <w:autoSpaceDE w:val="0"/>
              <w:autoSpaceDN w:val="0"/>
              <w:adjustRightInd w:val="0"/>
              <w:snapToGrid w:val="0"/>
              <w:spacing w:before="0" w:beforeAutospacing="0" w:after="120" w:afterAutospacing="0" w:line="240" w:lineRule="auto"/>
              <w:ind w:left="0" w:right="0"/>
              <w:textAlignment w:val="baseline"/>
              <w:rPr>
                <w:rFonts w:hint="default" w:eastAsia="等线"/>
                <w:iCs/>
                <w:kern w:val="2"/>
                <w:sz w:val="21"/>
                <w:szCs w:val="21"/>
                <w:lang w:val="en-US" w:eastAsia="zh-CN"/>
              </w:rPr>
            </w:pPr>
            <w:r>
              <w:rPr>
                <w:rFonts w:hint="default" w:eastAsia="等线"/>
                <w:iCs/>
                <w:kern w:val="2"/>
                <w:sz w:val="21"/>
                <w:szCs w:val="21"/>
                <w:highlight w:val="yellow"/>
                <w:lang w:val="en-US" w:eastAsia="zh-CN"/>
              </w:rPr>
              <w:t>FFS:</w:t>
            </w:r>
          </w:p>
          <w:p>
            <w:pPr>
              <w:pStyle w:val="73"/>
              <w:keepNext w:val="0"/>
              <w:keepLines w:val="0"/>
              <w:widowControl/>
              <w:numPr>
                <w:ilvl w:val="0"/>
                <w:numId w:val="3"/>
              </w:numPr>
              <w:suppressLineNumbers w:val="0"/>
              <w:spacing w:before="0" w:beforeAutospacing="0" w:afterAutospacing="0"/>
              <w:ind w:right="0" w:firstLineChars="0"/>
              <w:rPr>
                <w:rFonts w:hint="default"/>
                <w:lang w:eastAsia="ja-JP"/>
              </w:rPr>
            </w:pPr>
            <w:r>
              <w:rPr>
                <w:rFonts w:hint="default"/>
                <w:lang w:eastAsia="ja-JP"/>
              </w:rPr>
              <w:t>RAN4 to not consider PDD reporting between serving and target satellites involved in the satellite switching without PCI change.</w:t>
            </w:r>
          </w:p>
          <w:p>
            <w:pPr>
              <w:keepNext w:val="0"/>
              <w:keepLines w:val="0"/>
              <w:widowControl/>
              <w:suppressLineNumbers w:val="0"/>
              <w:overflowPunct w:val="0"/>
              <w:autoSpaceDE w:val="0"/>
              <w:autoSpaceDN w:val="0"/>
              <w:adjustRightInd w:val="0"/>
              <w:snapToGrid w:val="0"/>
              <w:spacing w:before="0" w:beforeAutospacing="0" w:after="120" w:afterAutospacing="0" w:line="240" w:lineRule="auto"/>
              <w:ind w:left="0" w:right="0"/>
              <w:textAlignment w:val="baseline"/>
              <w:rPr>
                <w:rFonts w:hint="default" w:eastAsia="等线"/>
                <w:iCs/>
                <w:kern w:val="2"/>
                <w:sz w:val="21"/>
                <w:szCs w:val="21"/>
                <w:lang w:val="en-US" w:eastAsia="zh-CN"/>
              </w:rPr>
            </w:pPr>
            <w:r>
              <w:rPr>
                <w:rFonts w:hint="default" w:eastAsia="等线"/>
                <w:iCs/>
                <w:kern w:val="2"/>
                <w:sz w:val="21"/>
                <w:szCs w:val="21"/>
                <w:highlight w:val="yellow"/>
                <w:lang w:val="en-US" w:eastAsia="zh-CN"/>
              </w:rPr>
              <w:t>FFS:</w:t>
            </w:r>
          </w:p>
          <w:p>
            <w:pPr>
              <w:pStyle w:val="73"/>
              <w:keepNext w:val="0"/>
              <w:keepLines w:val="0"/>
              <w:widowControl/>
              <w:numPr>
                <w:ilvl w:val="0"/>
                <w:numId w:val="3"/>
              </w:numPr>
              <w:suppressLineNumbers w:val="0"/>
              <w:spacing w:before="0" w:beforeAutospacing="0" w:afterAutospacing="0"/>
              <w:ind w:right="0" w:firstLineChars="0"/>
              <w:rPr>
                <w:rFonts w:hint="default"/>
                <w:iCs/>
                <w:vertAlign w:val="baseline"/>
                <w:lang w:val="en-US" w:eastAsia="zh-CN"/>
              </w:rPr>
            </w:pPr>
            <w:r>
              <w:rPr>
                <w:rFonts w:hint="default"/>
                <w:lang w:eastAsia="ja-JP"/>
              </w:rPr>
              <w:t>To enhance scheduling restriction in soft satellite switching, consider modifying the capability rule such that: if UE indicates to support soft satellite switching without PCI change, it also means UE supports both simultaneousRxDataSSB-DiffNumerology and parallelMeasurementWithoutRestriction-r17.</w:t>
            </w:r>
          </w:p>
        </w:tc>
      </w:tr>
    </w:tbl>
    <w:p>
      <w:pPr>
        <w:spacing w:line="360" w:lineRule="auto"/>
        <w:jc w:val="both"/>
        <w:rPr>
          <w:rFonts w:hint="eastAsia"/>
          <w:iCs/>
          <w:lang w:val="en-US" w:eastAsia="zh-CN"/>
        </w:rPr>
      </w:pPr>
      <w:r>
        <w:rPr>
          <w:rFonts w:hint="eastAsia"/>
          <w:iCs/>
          <w:lang w:val="en-US" w:eastAsia="zh-CN"/>
        </w:rPr>
        <w:t>Actually, in previous meeting, we deem that we have already reached the agreements on whether to consider PDD reporting between serving and target satellites. RAN2 has already reached the agreements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line="360" w:lineRule="auto"/>
              <w:ind w:left="0" w:right="0"/>
              <w:jc w:val="both"/>
              <w:rPr>
                <w:rFonts w:hint="default"/>
                <w:iCs/>
                <w:sz w:val="20"/>
                <w:szCs w:val="20"/>
                <w:vertAlign w:val="baseline"/>
                <w:lang w:val="en-US" w:eastAsia="zh-CN"/>
              </w:rPr>
            </w:pPr>
            <w:r>
              <w:rPr>
                <w:rFonts w:hint="default"/>
                <w:sz w:val="20"/>
                <w:szCs w:val="20"/>
                <w:highlight w:val="yellow"/>
                <w:lang w:val="en-GB" w:eastAsia="en-GB"/>
              </w:rPr>
              <w:t>RAN2 understands that the NW is not expected to configure PDD reporting between serving and target satellites involved in the satellite switch</w:t>
            </w:r>
          </w:p>
        </w:tc>
      </w:tr>
    </w:tbl>
    <w:p>
      <w:pPr>
        <w:spacing w:line="360" w:lineRule="auto"/>
        <w:jc w:val="both"/>
        <w:rPr>
          <w:rFonts w:hint="eastAsia"/>
          <w:iCs/>
          <w:lang w:val="en-US" w:eastAsia="zh-CN"/>
        </w:rPr>
      </w:pPr>
      <w:r>
        <w:rPr>
          <w:rFonts w:hint="eastAsia"/>
          <w:iCs/>
          <w:lang w:val="en-US" w:eastAsia="zh-CN"/>
        </w:rPr>
        <w:t>Therefore, RAN4 shall not consider PDD reporting between serving and target satellites involved in the satellite switch.</w:t>
      </w:r>
    </w:p>
    <w:p>
      <w:pPr>
        <w:spacing w:line="360" w:lineRule="auto"/>
        <w:jc w:val="both"/>
        <w:rPr>
          <w:rFonts w:hint="eastAsia"/>
          <w:b/>
          <w:bCs/>
          <w:iCs/>
          <w:lang w:val="en-US" w:eastAsia="zh-CN"/>
        </w:rPr>
      </w:pPr>
      <w:r>
        <w:rPr>
          <w:rFonts w:hint="eastAsia"/>
          <w:b/>
          <w:bCs/>
          <w:iCs/>
          <w:lang w:val="en-US" w:eastAsia="zh-CN"/>
        </w:rPr>
        <w:t>Proposal 2: RAN4 shall not consider PDD reporting between serving and target satellites involved in the satellite switch.</w:t>
      </w:r>
    </w:p>
    <w:p>
      <w:pPr>
        <w:spacing w:line="360" w:lineRule="auto"/>
        <w:jc w:val="both"/>
        <w:rPr>
          <w:rFonts w:hint="eastAsia"/>
          <w:iCs/>
          <w:lang w:val="en-US" w:eastAsia="zh-CN"/>
        </w:rPr>
      </w:pPr>
      <w:r>
        <w:rPr>
          <w:rFonts w:hint="eastAsia"/>
          <w:iCs/>
          <w:lang w:val="en-US" w:eastAsia="zh-CN"/>
        </w:rPr>
        <w:t>For the second issue, we deem that only parallelMeasurmentWithoutRestriction-r17 is enough for no scheduling restriction. We can see the following table from TS38.306:</w:t>
      </w:r>
    </w:p>
    <w:tbl>
      <w:tblPr>
        <w:tblStyle w:val="30"/>
        <w:tblW w:w="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shd w:val="clear" w:color="auto" w:fill="auto"/>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0"/>
                <w:lang w:val="en-US"/>
              </w:rPr>
            </w:pPr>
            <w:r>
              <w:rPr>
                <w:rFonts w:hint="default" w:ascii="Arial" w:hAnsi="Arial" w:eastAsia="Times New Roman" w:cs="Times New Roman"/>
                <w:b/>
                <w:bCs w:val="0"/>
                <w:i/>
                <w:iCs w:val="0"/>
                <w:kern w:val="0"/>
                <w:sz w:val="18"/>
                <w:szCs w:val="20"/>
                <w:lang w:val="en-US" w:eastAsia="zh-CN" w:bidi="ar"/>
              </w:rPr>
              <w:t>parallelMeasurementWithoutRestriction-r17</w:t>
            </w:r>
          </w:p>
          <w:p>
            <w:pPr>
              <w:pStyle w:val="29"/>
              <w:keepNext/>
              <w:keepLines/>
              <w:widowControl/>
              <w:suppressLineNumbers w:val="0"/>
              <w:overflowPunct w:val="0"/>
              <w:autoSpaceDE w:val="0"/>
              <w:autoSpaceDN w:val="0"/>
              <w:adjustRightInd w:val="0"/>
              <w:spacing w:before="0" w:beforeAutospacing="0" w:after="0" w:afterAutospacing="0"/>
              <w:ind w:left="0" w:right="0"/>
              <w:jc w:val="left"/>
              <w:rPr>
                <w:rFonts w:hint="default"/>
                <w:b/>
                <w:bCs/>
                <w:i/>
                <w:iCs/>
                <w:szCs w:val="20"/>
                <w:lang w:val="en-US"/>
              </w:rPr>
            </w:pPr>
            <w:r>
              <w:rPr>
                <w:rFonts w:hint="default" w:ascii="Arial" w:hAnsi="Arial" w:eastAsia="Times New Roman" w:cs="Times New Roman"/>
                <w:kern w:val="0"/>
                <w:sz w:val="18"/>
                <w:szCs w:val="20"/>
                <w:lang w:val="en-US" w:eastAsia="zh-CN" w:bidi="ar"/>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szCs w:val="20"/>
                <w:lang w:val="en-US"/>
              </w:rPr>
            </w:pPr>
            <w:r>
              <w:rPr>
                <w:rFonts w:hint="default" w:ascii="Arial" w:hAnsi="Arial" w:eastAsia="Times New Roman" w:cs="Times New Roman"/>
                <w:bCs/>
                <w:iCs/>
                <w:kern w:val="0"/>
                <w:sz w:val="18"/>
                <w:szCs w:val="20"/>
                <w:lang w:val="en-US" w:eastAsia="zh-CN" w:bidi="ar"/>
              </w:rPr>
              <w:t>Band</w:t>
            </w:r>
          </w:p>
        </w:tc>
        <w:tc>
          <w:tcPr>
            <w:tcW w:w="567"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szCs w:val="20"/>
                <w:lang w:val="en-US"/>
              </w:rPr>
            </w:pPr>
            <w:r>
              <w:rPr>
                <w:rFonts w:hint="default" w:ascii="Arial" w:hAnsi="Arial" w:eastAsia="Times New Roman" w:cs="Times New Roman"/>
                <w:kern w:val="0"/>
                <w:sz w:val="18"/>
                <w:szCs w:val="20"/>
                <w:lang w:val="en-US" w:eastAsia="zh-CN" w:bidi="ar"/>
              </w:rPr>
              <w:t>No</w:t>
            </w:r>
          </w:p>
        </w:tc>
        <w:tc>
          <w:tcPr>
            <w:tcW w:w="709"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bCs/>
                <w:iCs/>
                <w:szCs w:val="20"/>
                <w:lang w:val="en-US"/>
              </w:rPr>
            </w:pPr>
            <w:r>
              <w:rPr>
                <w:rFonts w:hint="default" w:ascii="Arial" w:hAnsi="Arial" w:eastAsia="Times New Roman" w:cs="Times New Roman"/>
                <w:bCs/>
                <w:iCs/>
                <w:kern w:val="0"/>
                <w:sz w:val="18"/>
                <w:szCs w:val="20"/>
                <w:lang w:val="en-US" w:eastAsia="zh-CN" w:bidi="ar"/>
              </w:rPr>
              <w:t>FDD only</w:t>
            </w:r>
          </w:p>
        </w:tc>
        <w:tc>
          <w:tcPr>
            <w:tcW w:w="728" w:type="dxa"/>
            <w:tcBorders>
              <w:top w:val="single" w:color="808080" w:sz="4" w:space="0"/>
              <w:left w:val="single" w:color="808080" w:sz="4" w:space="0"/>
              <w:bottom w:val="single" w:color="808080" w:sz="4" w:space="0"/>
              <w:right w:val="single" w:color="808080" w:sz="4" w:space="0"/>
            </w:tcBorders>
            <w:shd w:val="clear" w:color="auto" w:fill="auto"/>
            <w:vAlign w:val="top"/>
          </w:tcPr>
          <w:p>
            <w:pPr>
              <w:pStyle w:val="2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FR1 only</w:t>
            </w:r>
          </w:p>
        </w:tc>
      </w:tr>
    </w:tbl>
    <w:p>
      <w:pPr>
        <w:spacing w:line="360" w:lineRule="auto"/>
        <w:jc w:val="both"/>
        <w:rPr>
          <w:rFonts w:hint="eastAsia" w:ascii="Times New Roman" w:hAnsi="Times New Roman" w:eastAsia="Times New Roman" w:cs="Times New Roman"/>
          <w:iCs/>
          <w:lang w:val="en-US" w:eastAsia="zh-CN"/>
        </w:rPr>
      </w:pPr>
      <w:r>
        <w:rPr>
          <w:rFonts w:hint="eastAsia"/>
          <w:iCs/>
          <w:lang w:val="en-US" w:eastAsia="zh-CN"/>
        </w:rPr>
        <w:t>This IE has already indicates parallel measurement wit</w:t>
      </w:r>
      <w:r>
        <w:rPr>
          <w:rFonts w:hint="eastAsia" w:ascii="Times New Roman" w:hAnsi="Times New Roman" w:eastAsia="Times New Roman" w:cs="Times New Roman"/>
          <w:iCs/>
          <w:lang w:val="en-US" w:eastAsia="zh-CN"/>
        </w:rPr>
        <w:t xml:space="preserve">hout </w:t>
      </w:r>
      <w:r>
        <w:rPr>
          <w:rFonts w:hint="default" w:ascii="Times New Roman" w:hAnsi="Times New Roman" w:eastAsia="Times New Roman" w:cs="Times New Roman"/>
          <w:iCs/>
          <w:lang w:val="en-US" w:eastAsia="zh-CN"/>
        </w:rPr>
        <w:t>scheduling restrictions</w:t>
      </w:r>
      <w:r>
        <w:rPr>
          <w:rFonts w:hint="eastAsia" w:ascii="Times New Roman" w:hAnsi="Times New Roman" w:eastAsia="Times New Roman" w:cs="Times New Roman"/>
          <w:iCs/>
          <w:lang w:val="en-US" w:eastAsia="zh-CN"/>
        </w:rPr>
        <w:t>, no need to also add simultaneousRxDataSSB-DiffNumerology.</w:t>
      </w:r>
    </w:p>
    <w:p>
      <w:pPr>
        <w:spacing w:line="360" w:lineRule="auto"/>
        <w:jc w:val="both"/>
        <w:rPr>
          <w:rFonts w:hint="default" w:ascii="Times New Roman" w:hAnsi="Times New Roman" w:eastAsia="Times New Roman" w:cs="Times New Roman"/>
          <w:b/>
          <w:bCs/>
          <w:iCs/>
          <w:lang w:val="en-US" w:eastAsia="zh-CN"/>
        </w:rPr>
      </w:pPr>
      <w:r>
        <w:rPr>
          <w:rFonts w:hint="eastAsia" w:ascii="Times New Roman" w:hAnsi="Times New Roman" w:eastAsia="Times New Roman" w:cs="Times New Roman"/>
          <w:b/>
          <w:bCs/>
          <w:iCs/>
          <w:lang w:val="en-US" w:eastAsia="zh-CN"/>
        </w:rPr>
        <w:t>Proposal 3: No need to add simultaneousRxDataSSB-DiffNumerology.</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spacing w:line="360" w:lineRule="auto"/>
        <w:jc w:val="both"/>
        <w:rPr>
          <w:rFonts w:hint="eastAsia"/>
          <w:iCs/>
          <w:lang w:val="en-US" w:eastAsia="zh-CN"/>
        </w:rPr>
      </w:pPr>
      <w:r>
        <w:rPr>
          <w:rFonts w:hint="eastAsia" w:eastAsia="宋体"/>
          <w:b/>
          <w:bCs/>
          <w:iCs/>
          <w:lang w:val="en-US" w:eastAsia="zh-CN"/>
        </w:rPr>
        <w:t>Proposal 1: I</w:t>
      </w:r>
      <w:r>
        <w:rPr>
          <w:b/>
          <w:bCs/>
          <w:iCs/>
        </w:rPr>
        <w:t>f UE is configured by network to have at least one high priority carrier which contains NTN cells, the requirements for GNSS ON shall be applied</w:t>
      </w:r>
      <w:r>
        <w:rPr>
          <w:rFonts w:hint="eastAsia"/>
          <w:iCs/>
          <w:lang w:val="en-US" w:eastAsia="zh-CN"/>
        </w:rPr>
        <w:t>.</w:t>
      </w:r>
    </w:p>
    <w:p>
      <w:pPr>
        <w:spacing w:line="360" w:lineRule="auto"/>
        <w:jc w:val="both"/>
        <w:rPr>
          <w:rFonts w:hint="default"/>
          <w:b/>
          <w:bCs/>
          <w:iCs/>
          <w:lang w:val="en-US" w:eastAsia="zh-CN"/>
        </w:rPr>
      </w:pPr>
      <w:r>
        <w:rPr>
          <w:rFonts w:hint="eastAsia"/>
          <w:b/>
          <w:bCs/>
          <w:iCs/>
          <w:lang w:val="en-US" w:eastAsia="zh-CN"/>
        </w:rPr>
        <w:t>Observation 1: RAN4 has already defined the related cell re-selection requirements for this scenario in TS38.133 4.2C.2.11 and the definition of each parameters has been clarified in current spec.</w:t>
      </w:r>
    </w:p>
    <w:p>
      <w:pPr>
        <w:spacing w:line="360" w:lineRule="auto"/>
        <w:jc w:val="both"/>
        <w:rPr>
          <w:rFonts w:hint="eastAsia"/>
          <w:b/>
          <w:bCs/>
          <w:iCs/>
          <w:lang w:val="en-US" w:eastAsia="zh-CN"/>
        </w:rPr>
      </w:pPr>
      <w:r>
        <w:rPr>
          <w:rFonts w:hint="eastAsia"/>
          <w:b/>
          <w:bCs/>
          <w:iCs/>
          <w:lang w:val="en-US" w:eastAsia="zh-CN"/>
        </w:rPr>
        <w:t>Proposal 2: RAN4 shall not consider PDD reporting between serving and target satellites involved in the satellite switch.</w:t>
      </w:r>
    </w:p>
    <w:p>
      <w:pPr>
        <w:spacing w:line="360" w:lineRule="auto"/>
        <w:jc w:val="both"/>
        <w:rPr>
          <w:rFonts w:eastAsia="宋体"/>
          <w:sz w:val="22"/>
          <w:lang w:val="en-US" w:eastAsia="zh-CN"/>
        </w:rPr>
      </w:pPr>
      <w:r>
        <w:rPr>
          <w:rFonts w:hint="eastAsia" w:ascii="Times New Roman" w:hAnsi="Times New Roman" w:eastAsia="Times New Roman" w:cs="Times New Roman"/>
          <w:b/>
          <w:bCs/>
          <w:iCs/>
          <w:lang w:val="en-US" w:eastAsia="zh-CN"/>
        </w:rPr>
        <w:t>Proposal 3: No need to add simultaneousRxDataSSB-DiffNumerology.</w:t>
      </w:r>
    </w:p>
    <w:p>
      <w:pPr>
        <w:pStyle w:val="77"/>
        <w:numPr>
          <w:ilvl w:val="0"/>
          <w:numId w:val="0"/>
        </w:numPr>
        <w:ind w:left="360" w:hanging="360"/>
        <w:rPr>
          <w:lang w:val="en-US"/>
        </w:rPr>
      </w:pPr>
      <w:r>
        <w:rPr>
          <w:lang w:val="en-US"/>
        </w:rPr>
        <w:t>References</w:t>
      </w:r>
    </w:p>
    <w:p>
      <w:pPr>
        <w:rPr>
          <w:lang w:val="en-US"/>
        </w:rPr>
      </w:pPr>
      <w:bookmarkStart w:id="2" w:name="_Ref114500673"/>
      <w:bookmarkEnd w:id="2"/>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lang w:val="en-US" w:eastAsia="zh-CN"/>
        </w:rPr>
      </w:pPr>
      <w:r>
        <w:rPr>
          <w:rFonts w:hint="eastAsia"/>
          <w:lang w:val="en-US" w:eastAsia="zh-CN"/>
        </w:rPr>
        <w:t>[2] R4-2414100, WF on NR NTN enhancement RRM requirements, Qualcomm.</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8174F"/>
    <w:rsid w:val="000C47C3"/>
    <w:rsid w:val="000D58AB"/>
    <w:rsid w:val="001078D8"/>
    <w:rsid w:val="0011050B"/>
    <w:rsid w:val="0011507D"/>
    <w:rsid w:val="00133525"/>
    <w:rsid w:val="00167FF6"/>
    <w:rsid w:val="001A4C42"/>
    <w:rsid w:val="001A7420"/>
    <w:rsid w:val="001B4E8C"/>
    <w:rsid w:val="001B6637"/>
    <w:rsid w:val="001C21C3"/>
    <w:rsid w:val="001D02C2"/>
    <w:rsid w:val="001E6DEE"/>
    <w:rsid w:val="001F0C1D"/>
    <w:rsid w:val="001F1132"/>
    <w:rsid w:val="001F168B"/>
    <w:rsid w:val="0021140F"/>
    <w:rsid w:val="002347A2"/>
    <w:rsid w:val="002606B7"/>
    <w:rsid w:val="002618AD"/>
    <w:rsid w:val="002675F0"/>
    <w:rsid w:val="002840A1"/>
    <w:rsid w:val="002B6339"/>
    <w:rsid w:val="002E00EE"/>
    <w:rsid w:val="003172DC"/>
    <w:rsid w:val="003318A3"/>
    <w:rsid w:val="0033338C"/>
    <w:rsid w:val="00340FCD"/>
    <w:rsid w:val="0034491F"/>
    <w:rsid w:val="0035462D"/>
    <w:rsid w:val="003765B8"/>
    <w:rsid w:val="00384CDA"/>
    <w:rsid w:val="003A4EE4"/>
    <w:rsid w:val="003A71A1"/>
    <w:rsid w:val="003C3971"/>
    <w:rsid w:val="003D429A"/>
    <w:rsid w:val="003E3F4F"/>
    <w:rsid w:val="00423334"/>
    <w:rsid w:val="004345EC"/>
    <w:rsid w:val="0044364B"/>
    <w:rsid w:val="00454360"/>
    <w:rsid w:val="00465515"/>
    <w:rsid w:val="00467F50"/>
    <w:rsid w:val="004929E3"/>
    <w:rsid w:val="004B2A74"/>
    <w:rsid w:val="004C61CE"/>
    <w:rsid w:val="004D3578"/>
    <w:rsid w:val="004E213A"/>
    <w:rsid w:val="004F0988"/>
    <w:rsid w:val="004F3340"/>
    <w:rsid w:val="0053388B"/>
    <w:rsid w:val="00535773"/>
    <w:rsid w:val="00543E6C"/>
    <w:rsid w:val="00546D44"/>
    <w:rsid w:val="0056254B"/>
    <w:rsid w:val="00565087"/>
    <w:rsid w:val="00567E77"/>
    <w:rsid w:val="0057305F"/>
    <w:rsid w:val="00586E2E"/>
    <w:rsid w:val="00597B11"/>
    <w:rsid w:val="005D2E01"/>
    <w:rsid w:val="005D7526"/>
    <w:rsid w:val="005E4BB2"/>
    <w:rsid w:val="005E5C21"/>
    <w:rsid w:val="00602AEA"/>
    <w:rsid w:val="00614FDF"/>
    <w:rsid w:val="00631B7B"/>
    <w:rsid w:val="0063543D"/>
    <w:rsid w:val="0063585B"/>
    <w:rsid w:val="00647114"/>
    <w:rsid w:val="0065722D"/>
    <w:rsid w:val="00670255"/>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D7869"/>
    <w:rsid w:val="007F0F4A"/>
    <w:rsid w:val="008028A4"/>
    <w:rsid w:val="00811EC5"/>
    <w:rsid w:val="00830747"/>
    <w:rsid w:val="0083684A"/>
    <w:rsid w:val="008523FC"/>
    <w:rsid w:val="008768CA"/>
    <w:rsid w:val="00885367"/>
    <w:rsid w:val="008A6463"/>
    <w:rsid w:val="008C384C"/>
    <w:rsid w:val="0090000A"/>
    <w:rsid w:val="0090271F"/>
    <w:rsid w:val="00902E23"/>
    <w:rsid w:val="009114D7"/>
    <w:rsid w:val="0091348E"/>
    <w:rsid w:val="00917CCB"/>
    <w:rsid w:val="00917DFC"/>
    <w:rsid w:val="00942EC2"/>
    <w:rsid w:val="00973023"/>
    <w:rsid w:val="009733C9"/>
    <w:rsid w:val="0098113E"/>
    <w:rsid w:val="00985F99"/>
    <w:rsid w:val="009C3E5A"/>
    <w:rsid w:val="009E2EC1"/>
    <w:rsid w:val="009F37B7"/>
    <w:rsid w:val="00A10F02"/>
    <w:rsid w:val="00A10FA6"/>
    <w:rsid w:val="00A164B4"/>
    <w:rsid w:val="00A26956"/>
    <w:rsid w:val="00A27486"/>
    <w:rsid w:val="00A53724"/>
    <w:rsid w:val="00A56066"/>
    <w:rsid w:val="00A70033"/>
    <w:rsid w:val="00A71050"/>
    <w:rsid w:val="00A73129"/>
    <w:rsid w:val="00A810EE"/>
    <w:rsid w:val="00A82346"/>
    <w:rsid w:val="00A92BA1"/>
    <w:rsid w:val="00A95C70"/>
    <w:rsid w:val="00AC6BC6"/>
    <w:rsid w:val="00AD1CB4"/>
    <w:rsid w:val="00AD3436"/>
    <w:rsid w:val="00AE65E2"/>
    <w:rsid w:val="00B05364"/>
    <w:rsid w:val="00B067F0"/>
    <w:rsid w:val="00B14B92"/>
    <w:rsid w:val="00B15449"/>
    <w:rsid w:val="00B66DD7"/>
    <w:rsid w:val="00B67352"/>
    <w:rsid w:val="00B74494"/>
    <w:rsid w:val="00B81824"/>
    <w:rsid w:val="00B93086"/>
    <w:rsid w:val="00B93FB3"/>
    <w:rsid w:val="00BA19ED"/>
    <w:rsid w:val="00BA4B8D"/>
    <w:rsid w:val="00BC0519"/>
    <w:rsid w:val="00BC0556"/>
    <w:rsid w:val="00BC0F7D"/>
    <w:rsid w:val="00BD421F"/>
    <w:rsid w:val="00BD7D31"/>
    <w:rsid w:val="00BE3255"/>
    <w:rsid w:val="00BE7342"/>
    <w:rsid w:val="00BF128E"/>
    <w:rsid w:val="00C074DD"/>
    <w:rsid w:val="00C1496A"/>
    <w:rsid w:val="00C33079"/>
    <w:rsid w:val="00C41F2A"/>
    <w:rsid w:val="00C45231"/>
    <w:rsid w:val="00C562DD"/>
    <w:rsid w:val="00C60826"/>
    <w:rsid w:val="00C72833"/>
    <w:rsid w:val="00C80F1D"/>
    <w:rsid w:val="00C93F40"/>
    <w:rsid w:val="00CA3D0C"/>
    <w:rsid w:val="00CB0749"/>
    <w:rsid w:val="00CC0617"/>
    <w:rsid w:val="00CC4BC3"/>
    <w:rsid w:val="00CD106F"/>
    <w:rsid w:val="00CD2E3D"/>
    <w:rsid w:val="00CE1139"/>
    <w:rsid w:val="00D12A57"/>
    <w:rsid w:val="00D13B60"/>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B2E3D"/>
    <w:rsid w:val="00EC4A25"/>
    <w:rsid w:val="00EF13CA"/>
    <w:rsid w:val="00F025A2"/>
    <w:rsid w:val="00F04712"/>
    <w:rsid w:val="00F13360"/>
    <w:rsid w:val="00F22EC7"/>
    <w:rsid w:val="00F325C8"/>
    <w:rsid w:val="00F4676F"/>
    <w:rsid w:val="00F653B8"/>
    <w:rsid w:val="00F76708"/>
    <w:rsid w:val="00F80895"/>
    <w:rsid w:val="00F9008D"/>
    <w:rsid w:val="00FA1266"/>
    <w:rsid w:val="00FA4E78"/>
    <w:rsid w:val="00FC1192"/>
    <w:rsid w:val="00FC41D2"/>
    <w:rsid w:val="00FC6246"/>
    <w:rsid w:val="00FD2069"/>
    <w:rsid w:val="0106663B"/>
    <w:rsid w:val="011629BA"/>
    <w:rsid w:val="01295F0D"/>
    <w:rsid w:val="01410DC2"/>
    <w:rsid w:val="01536085"/>
    <w:rsid w:val="0158163D"/>
    <w:rsid w:val="015A322D"/>
    <w:rsid w:val="01652E48"/>
    <w:rsid w:val="018F1743"/>
    <w:rsid w:val="018F25C8"/>
    <w:rsid w:val="01906A5B"/>
    <w:rsid w:val="01907C39"/>
    <w:rsid w:val="01E70C97"/>
    <w:rsid w:val="01EA15CF"/>
    <w:rsid w:val="02402E7C"/>
    <w:rsid w:val="02505886"/>
    <w:rsid w:val="029011A2"/>
    <w:rsid w:val="02A03627"/>
    <w:rsid w:val="02DB4554"/>
    <w:rsid w:val="02EC4357"/>
    <w:rsid w:val="02EE768C"/>
    <w:rsid w:val="02FA1082"/>
    <w:rsid w:val="031778E0"/>
    <w:rsid w:val="03204524"/>
    <w:rsid w:val="0327096F"/>
    <w:rsid w:val="032A315A"/>
    <w:rsid w:val="03481CC2"/>
    <w:rsid w:val="034E163D"/>
    <w:rsid w:val="038346FC"/>
    <w:rsid w:val="03A3177A"/>
    <w:rsid w:val="03BF3D9F"/>
    <w:rsid w:val="03C80AD2"/>
    <w:rsid w:val="03C95263"/>
    <w:rsid w:val="03F0584F"/>
    <w:rsid w:val="03FB5627"/>
    <w:rsid w:val="04076F95"/>
    <w:rsid w:val="04242812"/>
    <w:rsid w:val="042736AF"/>
    <w:rsid w:val="04383CC9"/>
    <w:rsid w:val="04421BA4"/>
    <w:rsid w:val="044B12E0"/>
    <w:rsid w:val="046301A2"/>
    <w:rsid w:val="046A0693"/>
    <w:rsid w:val="04732FB8"/>
    <w:rsid w:val="04871DE8"/>
    <w:rsid w:val="048F6485"/>
    <w:rsid w:val="04A12403"/>
    <w:rsid w:val="04A815F7"/>
    <w:rsid w:val="04AD06A4"/>
    <w:rsid w:val="04BD1E3A"/>
    <w:rsid w:val="04CC6188"/>
    <w:rsid w:val="04E04910"/>
    <w:rsid w:val="050C7718"/>
    <w:rsid w:val="05176C7C"/>
    <w:rsid w:val="05214F03"/>
    <w:rsid w:val="055E02FB"/>
    <w:rsid w:val="056A3BE2"/>
    <w:rsid w:val="05AE2916"/>
    <w:rsid w:val="05B1379B"/>
    <w:rsid w:val="05C6466C"/>
    <w:rsid w:val="05DB67C3"/>
    <w:rsid w:val="05F02736"/>
    <w:rsid w:val="05FA30F3"/>
    <w:rsid w:val="06026AB1"/>
    <w:rsid w:val="060D0D66"/>
    <w:rsid w:val="062C2061"/>
    <w:rsid w:val="062F55E2"/>
    <w:rsid w:val="06311BAC"/>
    <w:rsid w:val="06782570"/>
    <w:rsid w:val="067C67DB"/>
    <w:rsid w:val="068158A4"/>
    <w:rsid w:val="06C55627"/>
    <w:rsid w:val="06C82223"/>
    <w:rsid w:val="06E73497"/>
    <w:rsid w:val="07007517"/>
    <w:rsid w:val="07073FA3"/>
    <w:rsid w:val="07262AE1"/>
    <w:rsid w:val="072F7FC6"/>
    <w:rsid w:val="0732584E"/>
    <w:rsid w:val="075A7EF6"/>
    <w:rsid w:val="076202A2"/>
    <w:rsid w:val="076369A2"/>
    <w:rsid w:val="076A2A73"/>
    <w:rsid w:val="07754CC8"/>
    <w:rsid w:val="07A75DEF"/>
    <w:rsid w:val="07AE506C"/>
    <w:rsid w:val="07BC23FD"/>
    <w:rsid w:val="07C22AAD"/>
    <w:rsid w:val="07C3764D"/>
    <w:rsid w:val="07F66AC5"/>
    <w:rsid w:val="0833764C"/>
    <w:rsid w:val="084677D5"/>
    <w:rsid w:val="0848005E"/>
    <w:rsid w:val="084B1A9E"/>
    <w:rsid w:val="084C657D"/>
    <w:rsid w:val="084D12F0"/>
    <w:rsid w:val="087029A6"/>
    <w:rsid w:val="087B6B61"/>
    <w:rsid w:val="087E40F9"/>
    <w:rsid w:val="08916AA8"/>
    <w:rsid w:val="089F664F"/>
    <w:rsid w:val="08A203F3"/>
    <w:rsid w:val="08AF00C1"/>
    <w:rsid w:val="08B531C0"/>
    <w:rsid w:val="08BB1078"/>
    <w:rsid w:val="08BD1F16"/>
    <w:rsid w:val="08CD401D"/>
    <w:rsid w:val="08D53034"/>
    <w:rsid w:val="08DA28B3"/>
    <w:rsid w:val="08DD2BEF"/>
    <w:rsid w:val="08F700C6"/>
    <w:rsid w:val="0903652D"/>
    <w:rsid w:val="090556C6"/>
    <w:rsid w:val="09104DCD"/>
    <w:rsid w:val="092A4137"/>
    <w:rsid w:val="09335E2F"/>
    <w:rsid w:val="094C40B4"/>
    <w:rsid w:val="09606948"/>
    <w:rsid w:val="09627257"/>
    <w:rsid w:val="096E0D4F"/>
    <w:rsid w:val="09736AE0"/>
    <w:rsid w:val="09E30E5D"/>
    <w:rsid w:val="09F331B4"/>
    <w:rsid w:val="0A1364A3"/>
    <w:rsid w:val="0A143BE1"/>
    <w:rsid w:val="0A286DFB"/>
    <w:rsid w:val="0A2B57AE"/>
    <w:rsid w:val="0A5164D1"/>
    <w:rsid w:val="0A6C43DE"/>
    <w:rsid w:val="0ABC02E8"/>
    <w:rsid w:val="0AC16484"/>
    <w:rsid w:val="0ACB2015"/>
    <w:rsid w:val="0AD20D5E"/>
    <w:rsid w:val="0AD555AC"/>
    <w:rsid w:val="0AED24FC"/>
    <w:rsid w:val="0B0444E5"/>
    <w:rsid w:val="0B0F4A80"/>
    <w:rsid w:val="0B1B1997"/>
    <w:rsid w:val="0B1E1C49"/>
    <w:rsid w:val="0B24532C"/>
    <w:rsid w:val="0B3F6621"/>
    <w:rsid w:val="0B4836DA"/>
    <w:rsid w:val="0B4D2A88"/>
    <w:rsid w:val="0B527B25"/>
    <w:rsid w:val="0B5E0983"/>
    <w:rsid w:val="0B6A4840"/>
    <w:rsid w:val="0B707256"/>
    <w:rsid w:val="0B7129F9"/>
    <w:rsid w:val="0B744B6D"/>
    <w:rsid w:val="0B7E60C9"/>
    <w:rsid w:val="0B8730CC"/>
    <w:rsid w:val="0B927AF3"/>
    <w:rsid w:val="0BA069F6"/>
    <w:rsid w:val="0BB6397D"/>
    <w:rsid w:val="0BE05B3D"/>
    <w:rsid w:val="0BEE00F8"/>
    <w:rsid w:val="0BEF4F2C"/>
    <w:rsid w:val="0BF03462"/>
    <w:rsid w:val="0BF56721"/>
    <w:rsid w:val="0C226DB2"/>
    <w:rsid w:val="0C360518"/>
    <w:rsid w:val="0C5161F8"/>
    <w:rsid w:val="0C52360D"/>
    <w:rsid w:val="0C721B20"/>
    <w:rsid w:val="0C7C1976"/>
    <w:rsid w:val="0CAC6DE2"/>
    <w:rsid w:val="0CBA5E3E"/>
    <w:rsid w:val="0CCB3B11"/>
    <w:rsid w:val="0CDE55BC"/>
    <w:rsid w:val="0CDF391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147CBB"/>
    <w:rsid w:val="0E402695"/>
    <w:rsid w:val="0E6B4543"/>
    <w:rsid w:val="0E777792"/>
    <w:rsid w:val="0E7B1FCA"/>
    <w:rsid w:val="0E880E39"/>
    <w:rsid w:val="0E9D025B"/>
    <w:rsid w:val="0E9F4FA0"/>
    <w:rsid w:val="0EA8225F"/>
    <w:rsid w:val="0ED01837"/>
    <w:rsid w:val="0ED33A29"/>
    <w:rsid w:val="0EF97174"/>
    <w:rsid w:val="0F0F3D45"/>
    <w:rsid w:val="0F1C636A"/>
    <w:rsid w:val="0F2550AA"/>
    <w:rsid w:val="0F3A116B"/>
    <w:rsid w:val="0F48005B"/>
    <w:rsid w:val="0F511411"/>
    <w:rsid w:val="0F703346"/>
    <w:rsid w:val="0F80004E"/>
    <w:rsid w:val="0F871EAB"/>
    <w:rsid w:val="0F9F1528"/>
    <w:rsid w:val="0FDF5A14"/>
    <w:rsid w:val="1008703A"/>
    <w:rsid w:val="10126FBC"/>
    <w:rsid w:val="103809FF"/>
    <w:rsid w:val="103B4DE8"/>
    <w:rsid w:val="10764104"/>
    <w:rsid w:val="10816F43"/>
    <w:rsid w:val="1096068D"/>
    <w:rsid w:val="10B951CF"/>
    <w:rsid w:val="10BB3068"/>
    <w:rsid w:val="10D82C05"/>
    <w:rsid w:val="110E3EB6"/>
    <w:rsid w:val="11131D94"/>
    <w:rsid w:val="111778A8"/>
    <w:rsid w:val="111E4B32"/>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C02EA"/>
    <w:rsid w:val="129E41E5"/>
    <w:rsid w:val="12AA4BE9"/>
    <w:rsid w:val="12BE1D9C"/>
    <w:rsid w:val="12C003F7"/>
    <w:rsid w:val="12C7679B"/>
    <w:rsid w:val="12DD774D"/>
    <w:rsid w:val="12E20B88"/>
    <w:rsid w:val="133E4EC4"/>
    <w:rsid w:val="136404F3"/>
    <w:rsid w:val="137E2663"/>
    <w:rsid w:val="13B61E8E"/>
    <w:rsid w:val="13C23A1B"/>
    <w:rsid w:val="13C72FD3"/>
    <w:rsid w:val="13C76244"/>
    <w:rsid w:val="13CF28FB"/>
    <w:rsid w:val="13DA7C15"/>
    <w:rsid w:val="13E905BF"/>
    <w:rsid w:val="13EA5E5F"/>
    <w:rsid w:val="140F27D6"/>
    <w:rsid w:val="14107AE9"/>
    <w:rsid w:val="141241FB"/>
    <w:rsid w:val="14175E0A"/>
    <w:rsid w:val="141F1BA5"/>
    <w:rsid w:val="14254028"/>
    <w:rsid w:val="142A2204"/>
    <w:rsid w:val="1472255F"/>
    <w:rsid w:val="14782396"/>
    <w:rsid w:val="148942E3"/>
    <w:rsid w:val="148B031E"/>
    <w:rsid w:val="1492597B"/>
    <w:rsid w:val="14AC25B0"/>
    <w:rsid w:val="14AE0BED"/>
    <w:rsid w:val="14AF303C"/>
    <w:rsid w:val="14BE55AD"/>
    <w:rsid w:val="14C355CD"/>
    <w:rsid w:val="14D6643B"/>
    <w:rsid w:val="14E52CFF"/>
    <w:rsid w:val="1502113A"/>
    <w:rsid w:val="151308D4"/>
    <w:rsid w:val="1519381C"/>
    <w:rsid w:val="1525202B"/>
    <w:rsid w:val="15281376"/>
    <w:rsid w:val="15422545"/>
    <w:rsid w:val="156508EF"/>
    <w:rsid w:val="15693006"/>
    <w:rsid w:val="15716A99"/>
    <w:rsid w:val="157177C3"/>
    <w:rsid w:val="157D745A"/>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8083E"/>
    <w:rsid w:val="174C3A48"/>
    <w:rsid w:val="17553F9F"/>
    <w:rsid w:val="175623CE"/>
    <w:rsid w:val="176538DA"/>
    <w:rsid w:val="1794775D"/>
    <w:rsid w:val="17C376AD"/>
    <w:rsid w:val="17CB4905"/>
    <w:rsid w:val="17D01F3A"/>
    <w:rsid w:val="17DC7DAF"/>
    <w:rsid w:val="17DF40F7"/>
    <w:rsid w:val="17DF419B"/>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3C73D5"/>
    <w:rsid w:val="19551A74"/>
    <w:rsid w:val="195F7D63"/>
    <w:rsid w:val="197C2433"/>
    <w:rsid w:val="19933139"/>
    <w:rsid w:val="199A4A23"/>
    <w:rsid w:val="19AC4F46"/>
    <w:rsid w:val="19CE40A1"/>
    <w:rsid w:val="19D57461"/>
    <w:rsid w:val="19E74602"/>
    <w:rsid w:val="19EE7D0B"/>
    <w:rsid w:val="1A077D86"/>
    <w:rsid w:val="1A085685"/>
    <w:rsid w:val="1A191F3E"/>
    <w:rsid w:val="1A5163D6"/>
    <w:rsid w:val="1A54768F"/>
    <w:rsid w:val="1A5A669E"/>
    <w:rsid w:val="1A6A5CDF"/>
    <w:rsid w:val="1A796C32"/>
    <w:rsid w:val="1AB9028C"/>
    <w:rsid w:val="1AC56317"/>
    <w:rsid w:val="1AD6319E"/>
    <w:rsid w:val="1B4B651F"/>
    <w:rsid w:val="1B777BC9"/>
    <w:rsid w:val="1B7D10D5"/>
    <w:rsid w:val="1B831DBC"/>
    <w:rsid w:val="1B8D6B92"/>
    <w:rsid w:val="1B936CD6"/>
    <w:rsid w:val="1B990279"/>
    <w:rsid w:val="1B9B4E1C"/>
    <w:rsid w:val="1B9C50E9"/>
    <w:rsid w:val="1BA04CC7"/>
    <w:rsid w:val="1BAA5FDD"/>
    <w:rsid w:val="1BAD4429"/>
    <w:rsid w:val="1BB80557"/>
    <w:rsid w:val="1BBC1606"/>
    <w:rsid w:val="1BD91A80"/>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243745"/>
    <w:rsid w:val="1D3570D5"/>
    <w:rsid w:val="1D4E0EB2"/>
    <w:rsid w:val="1D693FA7"/>
    <w:rsid w:val="1D8F4E65"/>
    <w:rsid w:val="1DB553DF"/>
    <w:rsid w:val="1DBF1882"/>
    <w:rsid w:val="1DC70ACB"/>
    <w:rsid w:val="1DF17BE1"/>
    <w:rsid w:val="1DFC1393"/>
    <w:rsid w:val="1E10642A"/>
    <w:rsid w:val="1E4719A3"/>
    <w:rsid w:val="1E5F1F97"/>
    <w:rsid w:val="1E6C5F4E"/>
    <w:rsid w:val="1E9D4347"/>
    <w:rsid w:val="1EA65561"/>
    <w:rsid w:val="1EAD4127"/>
    <w:rsid w:val="1EB41D2D"/>
    <w:rsid w:val="1EB70BD9"/>
    <w:rsid w:val="1EB8797A"/>
    <w:rsid w:val="1EC057AE"/>
    <w:rsid w:val="1EDA6C33"/>
    <w:rsid w:val="1EEC719E"/>
    <w:rsid w:val="1EF7018A"/>
    <w:rsid w:val="1F0242AA"/>
    <w:rsid w:val="1F044236"/>
    <w:rsid w:val="1F25251D"/>
    <w:rsid w:val="1F2B5438"/>
    <w:rsid w:val="1F362D9D"/>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4B3D89"/>
    <w:rsid w:val="21575426"/>
    <w:rsid w:val="215C1F77"/>
    <w:rsid w:val="2177769E"/>
    <w:rsid w:val="21B56FE4"/>
    <w:rsid w:val="21D25FF2"/>
    <w:rsid w:val="21D96C95"/>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6B3A8E"/>
    <w:rsid w:val="23773623"/>
    <w:rsid w:val="2377693D"/>
    <w:rsid w:val="239F724D"/>
    <w:rsid w:val="23AB1721"/>
    <w:rsid w:val="23EF0BE1"/>
    <w:rsid w:val="24002E5E"/>
    <w:rsid w:val="24515479"/>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3E2FAE"/>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D5D2D"/>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37B48"/>
    <w:rsid w:val="2CA57E78"/>
    <w:rsid w:val="2CB5787B"/>
    <w:rsid w:val="2CBF13A5"/>
    <w:rsid w:val="2CCA4381"/>
    <w:rsid w:val="2CD30F03"/>
    <w:rsid w:val="2CF249BE"/>
    <w:rsid w:val="2CFC1554"/>
    <w:rsid w:val="2CFF3512"/>
    <w:rsid w:val="2D0B7148"/>
    <w:rsid w:val="2D17770B"/>
    <w:rsid w:val="2D247E58"/>
    <w:rsid w:val="2D354DCA"/>
    <w:rsid w:val="2D6E6943"/>
    <w:rsid w:val="2D7E4AF7"/>
    <w:rsid w:val="2D8519AC"/>
    <w:rsid w:val="2D87777E"/>
    <w:rsid w:val="2D8E349F"/>
    <w:rsid w:val="2D9469E6"/>
    <w:rsid w:val="2D9C5B61"/>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A40C72"/>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25585"/>
    <w:rsid w:val="3133127A"/>
    <w:rsid w:val="31353CD7"/>
    <w:rsid w:val="313E4128"/>
    <w:rsid w:val="313E620E"/>
    <w:rsid w:val="313E6CDE"/>
    <w:rsid w:val="314C0EB4"/>
    <w:rsid w:val="31727F68"/>
    <w:rsid w:val="317662E9"/>
    <w:rsid w:val="31954796"/>
    <w:rsid w:val="31962DAE"/>
    <w:rsid w:val="319F0073"/>
    <w:rsid w:val="31B56BB4"/>
    <w:rsid w:val="31B9498A"/>
    <w:rsid w:val="31F94CC5"/>
    <w:rsid w:val="32044DED"/>
    <w:rsid w:val="320C562E"/>
    <w:rsid w:val="322C52F3"/>
    <w:rsid w:val="32462A55"/>
    <w:rsid w:val="324B22D2"/>
    <w:rsid w:val="32575E9A"/>
    <w:rsid w:val="325C3AF5"/>
    <w:rsid w:val="327A0FE8"/>
    <w:rsid w:val="327D69E4"/>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024D4"/>
    <w:rsid w:val="3583595D"/>
    <w:rsid w:val="35841013"/>
    <w:rsid w:val="358B79C9"/>
    <w:rsid w:val="358C5CCB"/>
    <w:rsid w:val="359A00B9"/>
    <w:rsid w:val="35C73445"/>
    <w:rsid w:val="35F853BB"/>
    <w:rsid w:val="35FB1676"/>
    <w:rsid w:val="36133D69"/>
    <w:rsid w:val="361526DE"/>
    <w:rsid w:val="36225127"/>
    <w:rsid w:val="36237E20"/>
    <w:rsid w:val="36286678"/>
    <w:rsid w:val="363803C7"/>
    <w:rsid w:val="36440537"/>
    <w:rsid w:val="366937B3"/>
    <w:rsid w:val="367620D2"/>
    <w:rsid w:val="367751D1"/>
    <w:rsid w:val="36876CAD"/>
    <w:rsid w:val="3689139F"/>
    <w:rsid w:val="369608CE"/>
    <w:rsid w:val="369B0A76"/>
    <w:rsid w:val="369B2954"/>
    <w:rsid w:val="36C1037B"/>
    <w:rsid w:val="36D067A6"/>
    <w:rsid w:val="37070D11"/>
    <w:rsid w:val="370C03C2"/>
    <w:rsid w:val="37201F64"/>
    <w:rsid w:val="373F53DD"/>
    <w:rsid w:val="375948AC"/>
    <w:rsid w:val="376B28D6"/>
    <w:rsid w:val="376C5D00"/>
    <w:rsid w:val="376E276D"/>
    <w:rsid w:val="37727A1D"/>
    <w:rsid w:val="37872023"/>
    <w:rsid w:val="37A04E93"/>
    <w:rsid w:val="37AA4F18"/>
    <w:rsid w:val="37EA0A17"/>
    <w:rsid w:val="37F510CB"/>
    <w:rsid w:val="380A7603"/>
    <w:rsid w:val="380B0BB2"/>
    <w:rsid w:val="380D32F1"/>
    <w:rsid w:val="380D5D0D"/>
    <w:rsid w:val="38180E94"/>
    <w:rsid w:val="3825549B"/>
    <w:rsid w:val="382900AC"/>
    <w:rsid w:val="382F2C1E"/>
    <w:rsid w:val="384D78BB"/>
    <w:rsid w:val="38716CD9"/>
    <w:rsid w:val="38801C6C"/>
    <w:rsid w:val="38851608"/>
    <w:rsid w:val="38A45712"/>
    <w:rsid w:val="38A47DD9"/>
    <w:rsid w:val="38B04451"/>
    <w:rsid w:val="38C9778C"/>
    <w:rsid w:val="38CC35B4"/>
    <w:rsid w:val="38D10166"/>
    <w:rsid w:val="39005416"/>
    <w:rsid w:val="39207FD2"/>
    <w:rsid w:val="392A38E3"/>
    <w:rsid w:val="3933207C"/>
    <w:rsid w:val="394B37F2"/>
    <w:rsid w:val="39532C2F"/>
    <w:rsid w:val="39600B57"/>
    <w:rsid w:val="397150C2"/>
    <w:rsid w:val="39985F30"/>
    <w:rsid w:val="39D3500A"/>
    <w:rsid w:val="39D96419"/>
    <w:rsid w:val="39E55169"/>
    <w:rsid w:val="39E84553"/>
    <w:rsid w:val="39E861B5"/>
    <w:rsid w:val="39F4018B"/>
    <w:rsid w:val="39F72E22"/>
    <w:rsid w:val="3A012039"/>
    <w:rsid w:val="3A094E52"/>
    <w:rsid w:val="3A174971"/>
    <w:rsid w:val="3A233308"/>
    <w:rsid w:val="3A273045"/>
    <w:rsid w:val="3A2A1B78"/>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92702"/>
    <w:rsid w:val="3B7F36AC"/>
    <w:rsid w:val="3B822235"/>
    <w:rsid w:val="3B861D2E"/>
    <w:rsid w:val="3B99254A"/>
    <w:rsid w:val="3BC25680"/>
    <w:rsid w:val="3BD653F5"/>
    <w:rsid w:val="3BE16ECF"/>
    <w:rsid w:val="3C211965"/>
    <w:rsid w:val="3C365282"/>
    <w:rsid w:val="3C4B0ED5"/>
    <w:rsid w:val="3CA91418"/>
    <w:rsid w:val="3CB064E9"/>
    <w:rsid w:val="3CBC1B56"/>
    <w:rsid w:val="3CBD75BF"/>
    <w:rsid w:val="3CC33BCC"/>
    <w:rsid w:val="3CD15DA5"/>
    <w:rsid w:val="3CD641A1"/>
    <w:rsid w:val="3CD71CB8"/>
    <w:rsid w:val="3CE2490A"/>
    <w:rsid w:val="3CE66B2C"/>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C718F"/>
    <w:rsid w:val="407D54CF"/>
    <w:rsid w:val="409926B6"/>
    <w:rsid w:val="40B26032"/>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54DA2"/>
    <w:rsid w:val="427A44C2"/>
    <w:rsid w:val="42880654"/>
    <w:rsid w:val="428D14EF"/>
    <w:rsid w:val="4296187E"/>
    <w:rsid w:val="42A65AF0"/>
    <w:rsid w:val="42AD56C6"/>
    <w:rsid w:val="42EA760C"/>
    <w:rsid w:val="42F300EE"/>
    <w:rsid w:val="42FF71DC"/>
    <w:rsid w:val="42FF7548"/>
    <w:rsid w:val="43170B41"/>
    <w:rsid w:val="432B1FC3"/>
    <w:rsid w:val="434D155D"/>
    <w:rsid w:val="435C78D4"/>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093E"/>
    <w:rsid w:val="444C64B0"/>
    <w:rsid w:val="444D54BA"/>
    <w:rsid w:val="44742FDB"/>
    <w:rsid w:val="44861641"/>
    <w:rsid w:val="4496054C"/>
    <w:rsid w:val="449D508C"/>
    <w:rsid w:val="44A06825"/>
    <w:rsid w:val="44B15AF7"/>
    <w:rsid w:val="44B36E39"/>
    <w:rsid w:val="44EC7013"/>
    <w:rsid w:val="44F02519"/>
    <w:rsid w:val="44FB3AE3"/>
    <w:rsid w:val="44FF3C64"/>
    <w:rsid w:val="45061393"/>
    <w:rsid w:val="450A44F7"/>
    <w:rsid w:val="450D7988"/>
    <w:rsid w:val="45353B4F"/>
    <w:rsid w:val="453B7947"/>
    <w:rsid w:val="45427AA4"/>
    <w:rsid w:val="45515DC5"/>
    <w:rsid w:val="455454A2"/>
    <w:rsid w:val="45564CA5"/>
    <w:rsid w:val="455B6233"/>
    <w:rsid w:val="456A6A48"/>
    <w:rsid w:val="456C211B"/>
    <w:rsid w:val="45751837"/>
    <w:rsid w:val="457C3D14"/>
    <w:rsid w:val="45865E2C"/>
    <w:rsid w:val="458C78EA"/>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F4E9D"/>
    <w:rsid w:val="47280D0D"/>
    <w:rsid w:val="4745087C"/>
    <w:rsid w:val="475F0C6A"/>
    <w:rsid w:val="476B7898"/>
    <w:rsid w:val="47700B34"/>
    <w:rsid w:val="477A6B40"/>
    <w:rsid w:val="47904F58"/>
    <w:rsid w:val="47984CD3"/>
    <w:rsid w:val="47B32E9C"/>
    <w:rsid w:val="47BC74ED"/>
    <w:rsid w:val="480B19F6"/>
    <w:rsid w:val="48212AE9"/>
    <w:rsid w:val="48332930"/>
    <w:rsid w:val="483A1736"/>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997039"/>
    <w:rsid w:val="49A418F2"/>
    <w:rsid w:val="49B73A15"/>
    <w:rsid w:val="49C8100A"/>
    <w:rsid w:val="49E70C5B"/>
    <w:rsid w:val="49F954D9"/>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5223F"/>
    <w:rsid w:val="4ADB4E28"/>
    <w:rsid w:val="4AEF6BAC"/>
    <w:rsid w:val="4AF16114"/>
    <w:rsid w:val="4AF51588"/>
    <w:rsid w:val="4AF75899"/>
    <w:rsid w:val="4AFA71F1"/>
    <w:rsid w:val="4B093E3C"/>
    <w:rsid w:val="4B170E1E"/>
    <w:rsid w:val="4B1A46C6"/>
    <w:rsid w:val="4B2517BD"/>
    <w:rsid w:val="4B2C35A3"/>
    <w:rsid w:val="4B333D7A"/>
    <w:rsid w:val="4B3422A0"/>
    <w:rsid w:val="4B3D3D17"/>
    <w:rsid w:val="4B4D3A8C"/>
    <w:rsid w:val="4B5523AC"/>
    <w:rsid w:val="4B946474"/>
    <w:rsid w:val="4BB31E0A"/>
    <w:rsid w:val="4BC74E08"/>
    <w:rsid w:val="4BD07997"/>
    <w:rsid w:val="4BDF3E16"/>
    <w:rsid w:val="4BE83319"/>
    <w:rsid w:val="4BFC6546"/>
    <w:rsid w:val="4C1003D8"/>
    <w:rsid w:val="4C352DA8"/>
    <w:rsid w:val="4C366477"/>
    <w:rsid w:val="4C38466F"/>
    <w:rsid w:val="4C5237AB"/>
    <w:rsid w:val="4C623C0E"/>
    <w:rsid w:val="4C6F66E5"/>
    <w:rsid w:val="4C786851"/>
    <w:rsid w:val="4C942881"/>
    <w:rsid w:val="4CAF266F"/>
    <w:rsid w:val="4CC13ECD"/>
    <w:rsid w:val="4CD020F9"/>
    <w:rsid w:val="4CD53C2C"/>
    <w:rsid w:val="4D0B17EF"/>
    <w:rsid w:val="4D0E4802"/>
    <w:rsid w:val="4D2F7723"/>
    <w:rsid w:val="4D3948B1"/>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3D42E8"/>
    <w:rsid w:val="4F433DC8"/>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B413C8"/>
    <w:rsid w:val="52DB19FD"/>
    <w:rsid w:val="52EE339D"/>
    <w:rsid w:val="5306292A"/>
    <w:rsid w:val="530822C8"/>
    <w:rsid w:val="530969D9"/>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1A06CA"/>
    <w:rsid w:val="54270E2A"/>
    <w:rsid w:val="543E515D"/>
    <w:rsid w:val="543F413B"/>
    <w:rsid w:val="54472AC3"/>
    <w:rsid w:val="544B0D54"/>
    <w:rsid w:val="54591CDE"/>
    <w:rsid w:val="54625354"/>
    <w:rsid w:val="547D60C1"/>
    <w:rsid w:val="54984A43"/>
    <w:rsid w:val="54C557E7"/>
    <w:rsid w:val="54C65EC0"/>
    <w:rsid w:val="54D43100"/>
    <w:rsid w:val="54F80101"/>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21505"/>
    <w:rsid w:val="566B50BC"/>
    <w:rsid w:val="569E1AC8"/>
    <w:rsid w:val="56A4132F"/>
    <w:rsid w:val="56AC279F"/>
    <w:rsid w:val="56AF2E6F"/>
    <w:rsid w:val="56B4565D"/>
    <w:rsid w:val="56B971FE"/>
    <w:rsid w:val="56DC160C"/>
    <w:rsid w:val="56DF0963"/>
    <w:rsid w:val="56E2575C"/>
    <w:rsid w:val="56F37D3E"/>
    <w:rsid w:val="56F473C0"/>
    <w:rsid w:val="56FD3D8C"/>
    <w:rsid w:val="57065F83"/>
    <w:rsid w:val="57097BE4"/>
    <w:rsid w:val="570B6550"/>
    <w:rsid w:val="57196157"/>
    <w:rsid w:val="57484C26"/>
    <w:rsid w:val="574B1308"/>
    <w:rsid w:val="5758628A"/>
    <w:rsid w:val="57617889"/>
    <w:rsid w:val="57713185"/>
    <w:rsid w:val="57745BB6"/>
    <w:rsid w:val="57855787"/>
    <w:rsid w:val="578A1BF3"/>
    <w:rsid w:val="57B02739"/>
    <w:rsid w:val="57BD6C04"/>
    <w:rsid w:val="57C51573"/>
    <w:rsid w:val="57D6036B"/>
    <w:rsid w:val="57DE28CC"/>
    <w:rsid w:val="57E41FC0"/>
    <w:rsid w:val="57FF606E"/>
    <w:rsid w:val="580716CC"/>
    <w:rsid w:val="58101A82"/>
    <w:rsid w:val="58220A26"/>
    <w:rsid w:val="58381DBD"/>
    <w:rsid w:val="58394C38"/>
    <w:rsid w:val="58423CCA"/>
    <w:rsid w:val="584B7C06"/>
    <w:rsid w:val="58510290"/>
    <w:rsid w:val="58553705"/>
    <w:rsid w:val="5855370B"/>
    <w:rsid w:val="58590F71"/>
    <w:rsid w:val="5870107E"/>
    <w:rsid w:val="58B31DD9"/>
    <w:rsid w:val="58B91125"/>
    <w:rsid w:val="58C64CF3"/>
    <w:rsid w:val="58CB3B78"/>
    <w:rsid w:val="58D21B64"/>
    <w:rsid w:val="58E1168D"/>
    <w:rsid w:val="58F22C4C"/>
    <w:rsid w:val="590D2328"/>
    <w:rsid w:val="590F51DD"/>
    <w:rsid w:val="59232C0B"/>
    <w:rsid w:val="593A62F9"/>
    <w:rsid w:val="593D12F7"/>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764106"/>
    <w:rsid w:val="5A833B0D"/>
    <w:rsid w:val="5A9D621A"/>
    <w:rsid w:val="5AB17106"/>
    <w:rsid w:val="5AC219D6"/>
    <w:rsid w:val="5ACF40CD"/>
    <w:rsid w:val="5AFD3B96"/>
    <w:rsid w:val="5B0C640C"/>
    <w:rsid w:val="5B1170EA"/>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A96D95"/>
    <w:rsid w:val="5CD7479C"/>
    <w:rsid w:val="5CE536CF"/>
    <w:rsid w:val="5CE568F8"/>
    <w:rsid w:val="5CF33064"/>
    <w:rsid w:val="5D0038E8"/>
    <w:rsid w:val="5D0576C4"/>
    <w:rsid w:val="5D230368"/>
    <w:rsid w:val="5D255730"/>
    <w:rsid w:val="5D38673C"/>
    <w:rsid w:val="5D563A15"/>
    <w:rsid w:val="5D5667E0"/>
    <w:rsid w:val="5D580881"/>
    <w:rsid w:val="5D6261CB"/>
    <w:rsid w:val="5D732456"/>
    <w:rsid w:val="5D963B89"/>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BE09FF"/>
    <w:rsid w:val="5ED37969"/>
    <w:rsid w:val="5EED3932"/>
    <w:rsid w:val="5F0936DE"/>
    <w:rsid w:val="5F171517"/>
    <w:rsid w:val="5F62295E"/>
    <w:rsid w:val="5F700C2B"/>
    <w:rsid w:val="5F7D16C2"/>
    <w:rsid w:val="5F892553"/>
    <w:rsid w:val="5FAB77AE"/>
    <w:rsid w:val="5FB301BB"/>
    <w:rsid w:val="600A6271"/>
    <w:rsid w:val="60357E4D"/>
    <w:rsid w:val="6046706E"/>
    <w:rsid w:val="60472A84"/>
    <w:rsid w:val="60492B3E"/>
    <w:rsid w:val="60565E64"/>
    <w:rsid w:val="6089047C"/>
    <w:rsid w:val="608D4CE3"/>
    <w:rsid w:val="60A859A2"/>
    <w:rsid w:val="60AB29AA"/>
    <w:rsid w:val="60AC67BD"/>
    <w:rsid w:val="60B624A1"/>
    <w:rsid w:val="60C06489"/>
    <w:rsid w:val="60CE2A0E"/>
    <w:rsid w:val="61204933"/>
    <w:rsid w:val="612354B4"/>
    <w:rsid w:val="61351A56"/>
    <w:rsid w:val="613F62A8"/>
    <w:rsid w:val="61415F87"/>
    <w:rsid w:val="615A223E"/>
    <w:rsid w:val="615B47A6"/>
    <w:rsid w:val="616435A6"/>
    <w:rsid w:val="617052C7"/>
    <w:rsid w:val="617D4CFF"/>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83352"/>
    <w:rsid w:val="630C34D0"/>
    <w:rsid w:val="631E48B7"/>
    <w:rsid w:val="6322080B"/>
    <w:rsid w:val="635F6BBD"/>
    <w:rsid w:val="6388340F"/>
    <w:rsid w:val="638F7AFC"/>
    <w:rsid w:val="639215D8"/>
    <w:rsid w:val="63A36BE5"/>
    <w:rsid w:val="63C04B8A"/>
    <w:rsid w:val="63D42229"/>
    <w:rsid w:val="63D8474D"/>
    <w:rsid w:val="63DB746A"/>
    <w:rsid w:val="63E5033D"/>
    <w:rsid w:val="63EE162B"/>
    <w:rsid w:val="63EE7082"/>
    <w:rsid w:val="63F75B8A"/>
    <w:rsid w:val="640310C7"/>
    <w:rsid w:val="64155C8D"/>
    <w:rsid w:val="64194A1E"/>
    <w:rsid w:val="641B0760"/>
    <w:rsid w:val="641E1DE4"/>
    <w:rsid w:val="64203CB4"/>
    <w:rsid w:val="64222857"/>
    <w:rsid w:val="64335EB1"/>
    <w:rsid w:val="643519B3"/>
    <w:rsid w:val="64433CD0"/>
    <w:rsid w:val="64495F72"/>
    <w:rsid w:val="644B25BC"/>
    <w:rsid w:val="64580D33"/>
    <w:rsid w:val="647F6D16"/>
    <w:rsid w:val="64877326"/>
    <w:rsid w:val="6498217B"/>
    <w:rsid w:val="64987FF4"/>
    <w:rsid w:val="64A473F3"/>
    <w:rsid w:val="64CA0764"/>
    <w:rsid w:val="64D0513C"/>
    <w:rsid w:val="64EB1866"/>
    <w:rsid w:val="64F702F2"/>
    <w:rsid w:val="651424EE"/>
    <w:rsid w:val="65257BC1"/>
    <w:rsid w:val="65287A29"/>
    <w:rsid w:val="65537EF9"/>
    <w:rsid w:val="655E1155"/>
    <w:rsid w:val="655F4773"/>
    <w:rsid w:val="65636455"/>
    <w:rsid w:val="65863920"/>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827C2E"/>
    <w:rsid w:val="66943E18"/>
    <w:rsid w:val="6699652A"/>
    <w:rsid w:val="66A93110"/>
    <w:rsid w:val="66AC664F"/>
    <w:rsid w:val="66AF2B2C"/>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C40D72"/>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D058C"/>
    <w:rsid w:val="68E84B74"/>
    <w:rsid w:val="690300E6"/>
    <w:rsid w:val="691C4BE6"/>
    <w:rsid w:val="691F004A"/>
    <w:rsid w:val="692563EE"/>
    <w:rsid w:val="692D6BB4"/>
    <w:rsid w:val="69456602"/>
    <w:rsid w:val="6965727E"/>
    <w:rsid w:val="696D5485"/>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5C3E85"/>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E480C"/>
    <w:rsid w:val="6C4A348A"/>
    <w:rsid w:val="6C4A4478"/>
    <w:rsid w:val="6C5002D5"/>
    <w:rsid w:val="6C777224"/>
    <w:rsid w:val="6C83219C"/>
    <w:rsid w:val="6C833B41"/>
    <w:rsid w:val="6C9803A4"/>
    <w:rsid w:val="6CB2414B"/>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3269D7"/>
    <w:rsid w:val="6E4D7D3F"/>
    <w:rsid w:val="6E5231A4"/>
    <w:rsid w:val="6E5A40EE"/>
    <w:rsid w:val="6E5E3EB9"/>
    <w:rsid w:val="6E671D27"/>
    <w:rsid w:val="6E7D48F4"/>
    <w:rsid w:val="6E8C7FF7"/>
    <w:rsid w:val="6E9C16AF"/>
    <w:rsid w:val="6E9D390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186324"/>
    <w:rsid w:val="70563262"/>
    <w:rsid w:val="705873A3"/>
    <w:rsid w:val="707B1DA1"/>
    <w:rsid w:val="70894096"/>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AF12B4"/>
    <w:rsid w:val="72BB1BA7"/>
    <w:rsid w:val="72D051AC"/>
    <w:rsid w:val="72D05F60"/>
    <w:rsid w:val="72E15A91"/>
    <w:rsid w:val="72ED426C"/>
    <w:rsid w:val="72F91A90"/>
    <w:rsid w:val="731C314C"/>
    <w:rsid w:val="732927A3"/>
    <w:rsid w:val="734333B2"/>
    <w:rsid w:val="73826B32"/>
    <w:rsid w:val="73975F06"/>
    <w:rsid w:val="73A34F4F"/>
    <w:rsid w:val="73B02110"/>
    <w:rsid w:val="73CE0E30"/>
    <w:rsid w:val="73F95D4E"/>
    <w:rsid w:val="74044161"/>
    <w:rsid w:val="74194164"/>
    <w:rsid w:val="741C0ACA"/>
    <w:rsid w:val="742D382A"/>
    <w:rsid w:val="742D6B25"/>
    <w:rsid w:val="744446C4"/>
    <w:rsid w:val="74524A6C"/>
    <w:rsid w:val="745D46B6"/>
    <w:rsid w:val="747E2170"/>
    <w:rsid w:val="7492574D"/>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54283D"/>
    <w:rsid w:val="76724739"/>
    <w:rsid w:val="767F05D4"/>
    <w:rsid w:val="76894CC3"/>
    <w:rsid w:val="76BF7D3D"/>
    <w:rsid w:val="76C52AEB"/>
    <w:rsid w:val="76D264D4"/>
    <w:rsid w:val="76DB6483"/>
    <w:rsid w:val="76E955C3"/>
    <w:rsid w:val="76FD43AC"/>
    <w:rsid w:val="77123ACC"/>
    <w:rsid w:val="77247924"/>
    <w:rsid w:val="772B1B20"/>
    <w:rsid w:val="772B4EFD"/>
    <w:rsid w:val="77510935"/>
    <w:rsid w:val="77634F3B"/>
    <w:rsid w:val="779A7487"/>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35039"/>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AE7DEA"/>
    <w:rsid w:val="7BC8745E"/>
    <w:rsid w:val="7BCD7043"/>
    <w:rsid w:val="7BDA2B39"/>
    <w:rsid w:val="7BFD2FC3"/>
    <w:rsid w:val="7C274E7E"/>
    <w:rsid w:val="7C280E42"/>
    <w:rsid w:val="7C7F4F3C"/>
    <w:rsid w:val="7C9C55B4"/>
    <w:rsid w:val="7CA544A2"/>
    <w:rsid w:val="7CB347D7"/>
    <w:rsid w:val="7CCD67D7"/>
    <w:rsid w:val="7CE21673"/>
    <w:rsid w:val="7CE2570E"/>
    <w:rsid w:val="7CF45745"/>
    <w:rsid w:val="7D4033FD"/>
    <w:rsid w:val="7D4D5856"/>
    <w:rsid w:val="7D537A55"/>
    <w:rsid w:val="7D737A9C"/>
    <w:rsid w:val="7DA257CB"/>
    <w:rsid w:val="7DAA16F6"/>
    <w:rsid w:val="7DDC070D"/>
    <w:rsid w:val="7DE14EF9"/>
    <w:rsid w:val="7DF16A19"/>
    <w:rsid w:val="7E183EEA"/>
    <w:rsid w:val="7E194EBD"/>
    <w:rsid w:val="7E440B2B"/>
    <w:rsid w:val="7E4A22B2"/>
    <w:rsid w:val="7E4F61B6"/>
    <w:rsid w:val="7E5C4AB0"/>
    <w:rsid w:val="7E6752B6"/>
    <w:rsid w:val="7E717A7B"/>
    <w:rsid w:val="7E80292D"/>
    <w:rsid w:val="7E84382C"/>
    <w:rsid w:val="7E855AE7"/>
    <w:rsid w:val="7E9D718F"/>
    <w:rsid w:val="7EA73659"/>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TAL Car"/>
    <w:basedOn w:val="32"/>
    <w:qFormat/>
    <w:uiPriority w:val="0"/>
    <w:rPr>
      <w:rFonts w:ascii="Arial" w:hAnsi="Arial" w:eastAsia="Times New Roman" w:cs="Arial"/>
      <w:sz w:val="1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BE23-1DD9-4112-9DCB-1408A20D5FD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Pages>
  <Words>1647</Words>
  <Characters>9392</Characters>
  <Lines>78</Lines>
  <Paragraphs>22</Paragraphs>
  <TotalTime>1</TotalTime>
  <ScaleCrop>false</ScaleCrop>
  <LinksUpToDate>false</LinksUpToDate>
  <CharactersWithSpaces>11017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2024-11-08T09:09:28Z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2A645F0937DC4F73A4C51F0925FB5E99</vt:lpwstr>
  </property>
</Properties>
</file>